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firstLine="400" w:firstLineChars="200"/>
        <w:rPr>
          <w:rFonts w:hint="eastAsia" w:ascii="Times New Roman"/>
          <w:sz w:val="20"/>
        </w:rPr>
      </w:pPr>
    </w:p>
    <w:p>
      <w:pPr>
        <w:spacing w:line="796" w:lineRule="exact"/>
        <w:ind w:left="748" w:right="827" w:firstLine="400" w:firstLineChars="200"/>
        <w:rPr>
          <w:rFonts w:ascii="方正小标宋简体" w:hAnsi="方正小标宋简体" w:eastAsia="方正小标宋简体" w:cs="方正小标宋简体"/>
          <w:sz w:val="44"/>
          <w:szCs w:val="44"/>
        </w:rPr>
      </w:pPr>
      <w:r>
        <w:rPr>
          <w:rFonts w:hint="eastAsia" w:ascii="Times New Roman" w:eastAsia="仿宋_GB2312"/>
          <w:sz w:val="20"/>
        </w:rPr>
        <w:drawing>
          <wp:anchor distT="0" distB="0" distL="114935" distR="114935" simplePos="0" relativeHeight="251660288" behindDoc="1" locked="0" layoutInCell="1" allowOverlap="1">
            <wp:simplePos x="0" y="0"/>
            <wp:positionH relativeFrom="column">
              <wp:posOffset>1996440</wp:posOffset>
            </wp:positionH>
            <wp:positionV relativeFrom="paragraph">
              <wp:posOffset>86995</wp:posOffset>
            </wp:positionV>
            <wp:extent cx="1753870" cy="1753870"/>
            <wp:effectExtent l="0" t="0" r="17780" b="17780"/>
            <wp:wrapTight wrapText="bothSides">
              <wp:wrapPolygon>
                <wp:start x="0" y="0"/>
                <wp:lineTo x="0" y="21350"/>
                <wp:lineTo x="21350" y="21350"/>
                <wp:lineTo x="21350" y="0"/>
                <wp:lineTo x="0" y="0"/>
              </wp:wrapPolygon>
            </wp:wrapTight>
            <wp:docPr id="7" name="图片 3" descr="西幼校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西幼校徽LOGO"/>
                    <pic:cNvPicPr>
                      <a:picLocks noChangeAspect="1"/>
                    </pic:cNvPicPr>
                  </pic:nvPicPr>
                  <pic:blipFill>
                    <a:blip r:embed="rId6" cstate="print"/>
                    <a:stretch>
                      <a:fillRect/>
                    </a:stretch>
                  </pic:blipFill>
                  <pic:spPr>
                    <a:xfrm>
                      <a:off x="0" y="0"/>
                      <a:ext cx="1753870" cy="1753870"/>
                    </a:xfrm>
                    <a:prstGeom prst="rect">
                      <a:avLst/>
                    </a:prstGeom>
                    <a:noFill/>
                    <a:ln>
                      <a:noFill/>
                    </a:ln>
                  </pic:spPr>
                </pic:pic>
              </a:graphicData>
            </a:graphic>
          </wp:anchor>
        </w:drawing>
      </w:r>
    </w:p>
    <w:p>
      <w:pPr>
        <w:autoSpaceDE w:val="0"/>
        <w:autoSpaceDN w:val="0"/>
        <w:spacing w:line="796" w:lineRule="exact"/>
        <w:ind w:right="106" w:firstLine="880" w:firstLineChars="200"/>
        <w:jc w:val="center"/>
        <w:rPr>
          <w:rFonts w:ascii="方正小标宋简体" w:hAnsi="方正小标宋简体" w:eastAsia="方正小标宋简体" w:cs="方正小标宋简体"/>
          <w:kern w:val="0"/>
          <w:sz w:val="44"/>
          <w:szCs w:val="44"/>
          <w:lang w:bidi="zh-CN"/>
        </w:rPr>
      </w:pPr>
    </w:p>
    <w:p>
      <w:pPr>
        <w:autoSpaceDE w:val="0"/>
        <w:autoSpaceDN w:val="0"/>
        <w:spacing w:line="796" w:lineRule="exact"/>
        <w:ind w:right="106" w:firstLine="880" w:firstLineChars="200"/>
        <w:jc w:val="center"/>
        <w:rPr>
          <w:rFonts w:ascii="方正小标宋简体" w:hAnsi="方正小标宋简体" w:eastAsia="方正小标宋简体" w:cs="方正小标宋简体"/>
          <w:kern w:val="0"/>
          <w:sz w:val="44"/>
          <w:szCs w:val="44"/>
          <w:lang w:bidi="zh-CN"/>
        </w:rPr>
      </w:pPr>
    </w:p>
    <w:p>
      <w:pPr>
        <w:autoSpaceDE w:val="0"/>
        <w:autoSpaceDN w:val="0"/>
        <w:spacing w:line="796" w:lineRule="exact"/>
        <w:ind w:right="106" w:firstLine="880" w:firstLineChars="200"/>
        <w:jc w:val="center"/>
        <w:rPr>
          <w:rFonts w:ascii="方正小标宋简体" w:hAnsi="方正小标宋简体" w:eastAsia="方正小标宋简体" w:cs="方正小标宋简体"/>
          <w:kern w:val="0"/>
          <w:sz w:val="44"/>
          <w:szCs w:val="44"/>
          <w:lang w:bidi="zh-CN"/>
        </w:rPr>
      </w:pPr>
    </w:p>
    <w:p>
      <w:pPr>
        <w:autoSpaceDE w:val="0"/>
        <w:autoSpaceDN w:val="0"/>
        <w:spacing w:line="796" w:lineRule="exact"/>
        <w:ind w:right="106" w:firstLine="400" w:firstLineChars="200"/>
        <w:jc w:val="center"/>
        <w:rPr>
          <w:rFonts w:ascii="方正小标宋简体" w:hAnsi="方正小标宋简体" w:eastAsia="方正小标宋简体" w:cs="方正小标宋简体"/>
          <w:kern w:val="0"/>
          <w:sz w:val="44"/>
          <w:szCs w:val="44"/>
          <w:lang w:bidi="zh-CN"/>
        </w:rPr>
      </w:pPr>
      <w:r>
        <w:rPr>
          <w:rFonts w:hint="eastAsia" w:ascii="Times New Roman" w:eastAsia="仿宋_GB2312"/>
          <w:sz w:val="20"/>
        </w:rPr>
        <w:drawing>
          <wp:anchor distT="0" distB="0" distL="114935" distR="114935" simplePos="0" relativeHeight="251661312" behindDoc="1" locked="0" layoutInCell="1" allowOverlap="1">
            <wp:simplePos x="0" y="0"/>
            <wp:positionH relativeFrom="column">
              <wp:posOffset>657225</wp:posOffset>
            </wp:positionH>
            <wp:positionV relativeFrom="paragraph">
              <wp:posOffset>91440</wp:posOffset>
            </wp:positionV>
            <wp:extent cx="4887595" cy="1187450"/>
            <wp:effectExtent l="0" t="0" r="8255" b="12700"/>
            <wp:wrapTight wrapText="bothSides">
              <wp:wrapPolygon>
                <wp:start x="0" y="0"/>
                <wp:lineTo x="0" y="21138"/>
                <wp:lineTo x="21552" y="21138"/>
                <wp:lineTo x="21552" y="0"/>
                <wp:lineTo x="0" y="0"/>
              </wp:wrapPolygon>
            </wp:wrapTight>
            <wp:docPr id="6"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校名"/>
                    <pic:cNvPicPr>
                      <a:picLocks noChangeAspect="1"/>
                    </pic:cNvPicPr>
                  </pic:nvPicPr>
                  <pic:blipFill>
                    <a:blip r:embed="rId7" cstate="print"/>
                    <a:stretch>
                      <a:fillRect/>
                    </a:stretch>
                  </pic:blipFill>
                  <pic:spPr>
                    <a:xfrm>
                      <a:off x="0" y="0"/>
                      <a:ext cx="4887595" cy="1187450"/>
                    </a:xfrm>
                    <a:prstGeom prst="rect">
                      <a:avLst/>
                    </a:prstGeom>
                    <a:noFill/>
                    <a:ln>
                      <a:noFill/>
                    </a:ln>
                  </pic:spPr>
                </pic:pic>
              </a:graphicData>
            </a:graphic>
          </wp:anchor>
        </w:drawing>
      </w:r>
    </w:p>
    <w:p>
      <w:pPr>
        <w:autoSpaceDE w:val="0"/>
        <w:autoSpaceDN w:val="0"/>
        <w:spacing w:line="796" w:lineRule="exact"/>
        <w:ind w:right="106" w:firstLine="880" w:firstLineChars="200"/>
        <w:jc w:val="center"/>
        <w:rPr>
          <w:rFonts w:ascii="方正小标宋简体" w:hAnsi="方正小标宋简体" w:eastAsia="方正小标宋简体" w:cs="方正小标宋简体"/>
          <w:kern w:val="0"/>
          <w:sz w:val="44"/>
          <w:szCs w:val="44"/>
          <w:lang w:bidi="zh-CN"/>
        </w:rPr>
      </w:pPr>
    </w:p>
    <w:p>
      <w:pPr>
        <w:autoSpaceDE w:val="0"/>
        <w:autoSpaceDN w:val="0"/>
        <w:spacing w:line="796" w:lineRule="exact"/>
        <w:ind w:right="106" w:firstLine="880" w:firstLineChars="200"/>
        <w:jc w:val="center"/>
        <w:rPr>
          <w:rFonts w:ascii="方正小标宋简体" w:hAnsi="方正小标宋简体" w:eastAsia="方正小标宋简体" w:cs="方正小标宋简体"/>
          <w:kern w:val="0"/>
          <w:sz w:val="44"/>
          <w:szCs w:val="44"/>
          <w:lang w:bidi="zh-CN"/>
        </w:rPr>
      </w:pPr>
    </w:p>
    <w:p>
      <w:pPr>
        <w:autoSpaceDE w:val="0"/>
        <w:autoSpaceDN w:val="0"/>
        <w:spacing w:line="796" w:lineRule="exact"/>
        <w:ind w:right="106"/>
        <w:jc w:val="center"/>
        <w:rPr>
          <w:rFonts w:ascii="方正小标宋简体" w:hAnsi="方正小标宋简体" w:eastAsia="方正小标宋简体" w:cs="方正小标宋简体"/>
          <w:kern w:val="0"/>
          <w:sz w:val="44"/>
          <w:szCs w:val="44"/>
          <w:lang w:bidi="zh-CN"/>
        </w:rPr>
      </w:pPr>
    </w:p>
    <w:p>
      <w:pPr>
        <w:autoSpaceDE w:val="0"/>
        <w:autoSpaceDN w:val="0"/>
        <w:spacing w:line="796" w:lineRule="exact"/>
        <w:ind w:right="106"/>
        <w:jc w:val="center"/>
        <w:rPr>
          <w:rFonts w:ascii="方正小标宋简体" w:hAnsi="方正小标宋简体" w:eastAsia="方正小标宋简体" w:cs="方正小标宋简体"/>
          <w:kern w:val="0"/>
          <w:sz w:val="44"/>
          <w:szCs w:val="44"/>
          <w:lang w:bidi="zh-CN"/>
        </w:rPr>
      </w:pPr>
      <w:r>
        <w:rPr>
          <w:rFonts w:hint="eastAsia" w:ascii="方正小标宋简体" w:hAnsi="方正小标宋简体" w:eastAsia="方正小标宋简体" w:cs="方正小标宋简体"/>
          <w:kern w:val="0"/>
          <w:sz w:val="44"/>
          <w:szCs w:val="44"/>
          <w:lang w:bidi="zh-CN"/>
        </w:rPr>
        <w:t>大数据与会计专业2021级人才培养方案</w:t>
      </w:r>
    </w:p>
    <w:p>
      <w:pPr>
        <w:autoSpaceDE w:val="0"/>
        <w:autoSpaceDN w:val="0"/>
        <w:spacing w:line="796" w:lineRule="exact"/>
        <w:ind w:right="106" w:firstLine="2640" w:firstLineChars="600"/>
        <w:jc w:val="both"/>
        <w:rPr>
          <w:rFonts w:ascii="方正小标宋简体" w:hAnsi="方正小标宋简体" w:eastAsia="方正小标宋简体" w:cs="方正小标宋简体"/>
          <w:kern w:val="0"/>
          <w:sz w:val="44"/>
          <w:szCs w:val="44"/>
          <w:lang w:bidi="zh-CN"/>
        </w:rPr>
      </w:pPr>
      <w:r>
        <w:rPr>
          <w:rFonts w:hint="eastAsia" w:ascii="方正小标宋简体" w:hAnsi="方正小标宋简体" w:eastAsia="方正小标宋简体" w:cs="方正小标宋简体"/>
          <w:kern w:val="0"/>
          <w:sz w:val="44"/>
          <w:szCs w:val="44"/>
          <w:lang w:bidi="zh-CN"/>
        </w:rPr>
        <w:t>（三年制）</w:t>
      </w:r>
    </w:p>
    <w:p>
      <w:pPr>
        <w:ind w:firstLine="720" w:firstLineChars="200"/>
        <w:jc w:val="center"/>
        <w:rPr>
          <w:rFonts w:ascii="方正小标宋简体" w:hAnsi="方正小标宋简体" w:eastAsia="方正小标宋简体" w:cs="方正小标宋简体"/>
          <w:sz w:val="36"/>
        </w:rPr>
      </w:pPr>
    </w:p>
    <w:p>
      <w:pPr>
        <w:ind w:firstLine="720" w:firstLineChars="200"/>
        <w:jc w:val="center"/>
        <w:rPr>
          <w:rFonts w:ascii="方正小标宋简体" w:hAnsi="方正小标宋简体" w:eastAsia="方正小标宋简体" w:cs="方正小标宋简体"/>
          <w:sz w:val="36"/>
        </w:rPr>
      </w:pPr>
    </w:p>
    <w:p>
      <w:pPr>
        <w:pStyle w:val="15"/>
        <w:ind w:left="0" w:leftChars="0" w:firstLine="0" w:firstLineChars="0"/>
        <w:rPr>
          <w:rFonts w:hint="default" w:ascii="方正小标宋简体" w:hAnsi="方正小标宋简体" w:eastAsia="方正小标宋简体" w:cs="方正小标宋简体"/>
          <w:sz w:val="36"/>
          <w:lang w:val="en-US" w:eastAsia="zh-CN"/>
        </w:rPr>
      </w:pPr>
      <w:r>
        <w:rPr>
          <w:rFonts w:hint="eastAsia" w:ascii="方正小标宋简体" w:hAnsi="方正小标宋简体" w:eastAsia="方正小标宋简体" w:cs="方正小标宋简体"/>
          <w:sz w:val="36"/>
          <w:lang w:val="en-US" w:eastAsia="zh-CN"/>
        </w:rPr>
        <w:t xml:space="preserve">                专业负责人：张国洁</w:t>
      </w:r>
    </w:p>
    <w:p>
      <w:pPr>
        <w:rPr>
          <w:rFonts w:ascii="方正小标宋简体" w:hAnsi="方正小标宋简体" w:eastAsia="方正小标宋简体" w:cs="方正小标宋简体"/>
          <w:sz w:val="36"/>
        </w:rPr>
      </w:pPr>
    </w:p>
    <w:p>
      <w:pPr>
        <w:rPr>
          <w:rFonts w:ascii="方正小标宋简体" w:hAnsi="方正小标宋简体" w:eastAsia="方正小标宋简体" w:cs="方正小标宋简体"/>
          <w:sz w:val="36"/>
        </w:rPr>
      </w:pPr>
    </w:p>
    <w:p>
      <w:pPr>
        <w:ind w:firstLine="720" w:firstLineChars="200"/>
        <w:jc w:val="center"/>
        <w:rPr>
          <w:rFonts w:hint="eastAsia" w:ascii="黑体" w:hAnsi="黑体" w:eastAsia="方正小标宋简体" w:cs="黑体"/>
          <w:sz w:val="36"/>
          <w:lang w:val="en-US" w:eastAsia="zh-CN"/>
        </w:rPr>
      </w:pPr>
      <w:r>
        <w:rPr>
          <w:rFonts w:hint="eastAsia" w:ascii="方正小标宋简体" w:hAnsi="方正小标宋简体" w:eastAsia="方正小标宋简体" w:cs="方正小标宋简体"/>
          <w:sz w:val="36"/>
        </w:rPr>
        <w:t>二〇二一年六</w:t>
      </w:r>
      <w:r>
        <w:rPr>
          <w:rFonts w:hint="eastAsia" w:ascii="方正小标宋简体" w:hAnsi="方正小标宋简体" w:eastAsia="方正小标宋简体" w:cs="方正小标宋简体"/>
          <w:sz w:val="36"/>
          <w:lang w:val="en-US" w:eastAsia="zh-CN"/>
        </w:rPr>
        <w:t>月</w:t>
      </w:r>
    </w:p>
    <w:p>
      <w:pPr>
        <w:pStyle w:val="15"/>
      </w:pPr>
    </w:p>
    <w:sdt>
      <w:sdtPr>
        <w:rPr>
          <w:rFonts w:ascii="宋体" w:hAnsi="宋体" w:eastAsia="宋体"/>
        </w:rPr>
        <w:id w:val="147470651"/>
        <w:docPartObj>
          <w:docPartGallery w:val="Table of Contents"/>
          <w:docPartUnique/>
        </w:docPartObj>
      </w:sdtPr>
      <w:sdtEndPr>
        <w:rPr>
          <w:rFonts w:hint="eastAsia" w:ascii="黑体" w:hAnsi="黑体" w:eastAsia="黑体" w:cs="黑体"/>
        </w:rPr>
      </w:sdtEndPr>
      <w:sdtContent>
        <w:p>
          <w:pPr>
            <w:jc w:val="center"/>
            <w:rPr>
              <w:rFonts w:ascii="宋体" w:hAnsi="宋体" w:eastAsia="宋体"/>
              <w:b/>
              <w:bCs/>
              <w:sz w:val="44"/>
              <w:szCs w:val="44"/>
            </w:rPr>
          </w:pPr>
          <w:r>
            <w:rPr>
              <w:rFonts w:ascii="宋体" w:hAnsi="宋体" w:eastAsia="宋体"/>
              <w:b/>
              <w:bCs/>
              <w:sz w:val="44"/>
              <w:szCs w:val="44"/>
            </w:rPr>
            <w:t>目</w:t>
          </w:r>
          <w:r>
            <w:rPr>
              <w:rFonts w:hint="eastAsia" w:ascii="宋体" w:hAnsi="宋体" w:eastAsia="宋体"/>
              <w:b/>
              <w:bCs/>
              <w:sz w:val="44"/>
              <w:szCs w:val="44"/>
            </w:rPr>
            <w:t xml:space="preserve"> </w:t>
          </w:r>
          <w:r>
            <w:rPr>
              <w:rFonts w:ascii="宋体" w:hAnsi="宋体" w:eastAsia="宋体"/>
              <w:b/>
              <w:bCs/>
              <w:sz w:val="44"/>
              <w:szCs w:val="44"/>
            </w:rPr>
            <w:t>录</w:t>
          </w:r>
        </w:p>
        <w:p>
          <w:pPr>
            <w:jc w:val="center"/>
          </w:pPr>
          <w:r>
            <w:rPr>
              <w:rFonts w:hint="eastAsia" w:ascii="黑体" w:hAnsi="黑体" w:eastAsia="黑体" w:cs="黑体"/>
              <w:sz w:val="36"/>
            </w:rPr>
            <w:fldChar w:fldCharType="begin"/>
          </w:r>
          <w:r>
            <w:rPr>
              <w:rFonts w:hint="eastAsia" w:ascii="黑体" w:hAnsi="黑体" w:eastAsia="黑体" w:cs="黑体"/>
              <w:sz w:val="36"/>
            </w:rPr>
            <w:instrText xml:space="preserve">TOC \o "1-1" \h \u </w:instrText>
          </w:r>
          <w:r>
            <w:rPr>
              <w:rFonts w:hint="eastAsia" w:ascii="黑体" w:hAnsi="黑体" w:eastAsia="黑体" w:cs="黑体"/>
              <w:sz w:val="36"/>
            </w:rPr>
            <w:fldChar w:fldCharType="separate"/>
          </w:r>
        </w:p>
        <w:p>
          <w:pPr>
            <w:pStyle w:val="40"/>
            <w:tabs>
              <w:tab w:val="right" w:leader="dot" w:pos="8250"/>
            </w:tabs>
            <w:rPr>
              <w:rFonts w:ascii="黑体" w:hAnsi="黑体" w:eastAsia="黑体" w:cs="黑体"/>
              <w:sz w:val="28"/>
              <w:szCs w:val="28"/>
            </w:rPr>
          </w:pPr>
          <w:r>
            <w:fldChar w:fldCharType="begin"/>
          </w:r>
          <w:r>
            <w:instrText xml:space="preserve"> HYPERLINK \l "_Toc6929" </w:instrText>
          </w:r>
          <w:r>
            <w:fldChar w:fldCharType="separate"/>
          </w:r>
          <w:r>
            <w:rPr>
              <w:rFonts w:hint="eastAsia" w:ascii="黑体" w:hAnsi="黑体" w:eastAsia="黑体" w:cs="黑体"/>
              <w:sz w:val="28"/>
              <w:szCs w:val="28"/>
            </w:rPr>
            <w:t>一、专业名称及代码</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_Toc6929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"_Toc20409" </w:instrText>
          </w:r>
          <w:r>
            <w:fldChar w:fldCharType="separate"/>
          </w:r>
          <w:r>
            <w:rPr>
              <w:rFonts w:hint="eastAsia" w:ascii="黑体" w:hAnsi="黑体" w:eastAsia="黑体" w:cs="黑体"/>
              <w:sz w:val="28"/>
              <w:szCs w:val="28"/>
            </w:rPr>
            <w:t>二、入学要求</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_Toc20409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"_Toc8507" </w:instrText>
          </w:r>
          <w:r>
            <w:fldChar w:fldCharType="separate"/>
          </w:r>
          <w:r>
            <w:rPr>
              <w:rFonts w:hint="eastAsia" w:ascii="黑体" w:hAnsi="黑体" w:eastAsia="黑体" w:cs="黑体"/>
              <w:sz w:val="28"/>
              <w:szCs w:val="28"/>
            </w:rPr>
            <w:t>三、修业年限</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_Toc8507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"_Toc30710" </w:instrText>
          </w:r>
          <w:r>
            <w:fldChar w:fldCharType="separate"/>
          </w:r>
          <w:r>
            <w:rPr>
              <w:rFonts w:hint="eastAsia" w:ascii="黑体" w:hAnsi="黑体" w:eastAsia="黑体" w:cs="黑体"/>
              <w:sz w:val="28"/>
              <w:szCs w:val="28"/>
            </w:rPr>
            <w:t>四、职业面向</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_Toc30710 \h </w:instrText>
          </w:r>
          <w:r>
            <w:rPr>
              <w:rFonts w:hint="eastAsia" w:ascii="黑体" w:hAnsi="黑体" w:eastAsia="黑体" w:cs="黑体"/>
              <w:sz w:val="28"/>
              <w:szCs w:val="28"/>
            </w:rPr>
            <w:fldChar w:fldCharType="separate"/>
          </w:r>
          <w:r>
            <w:rPr>
              <w:rFonts w:hint="eastAsia" w:ascii="黑体" w:hAnsi="黑体" w:eastAsia="黑体" w:cs="黑体"/>
              <w:sz w:val="28"/>
              <w:szCs w:val="28"/>
            </w:rPr>
            <w:t>3</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"_Toc1267" </w:instrText>
          </w:r>
          <w:r>
            <w:fldChar w:fldCharType="separate"/>
          </w:r>
          <w:r>
            <w:rPr>
              <w:rFonts w:hint="eastAsia" w:ascii="黑体" w:hAnsi="黑体" w:eastAsia="黑体" w:cs="黑体"/>
              <w:sz w:val="28"/>
              <w:szCs w:val="28"/>
            </w:rPr>
            <w:t>五、培养目标与培养规格</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_Toc1267 \h </w:instrText>
          </w:r>
          <w:r>
            <w:rPr>
              <w:rFonts w:hint="eastAsia" w:ascii="黑体" w:hAnsi="黑体" w:eastAsia="黑体" w:cs="黑体"/>
              <w:sz w:val="28"/>
              <w:szCs w:val="28"/>
            </w:rPr>
            <w:fldChar w:fldCharType="separate"/>
          </w:r>
          <w:r>
            <w:rPr>
              <w:rFonts w:hint="eastAsia" w:ascii="黑体" w:hAnsi="黑体" w:eastAsia="黑体" w:cs="黑体"/>
              <w:sz w:val="28"/>
              <w:szCs w:val="28"/>
            </w:rPr>
            <w:t>5</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"_Toc4507" </w:instrText>
          </w:r>
          <w:r>
            <w:fldChar w:fldCharType="separate"/>
          </w:r>
          <w:r>
            <w:rPr>
              <w:rFonts w:hint="eastAsia" w:ascii="黑体" w:hAnsi="黑体" w:eastAsia="黑体" w:cs="黑体"/>
              <w:sz w:val="28"/>
              <w:szCs w:val="28"/>
            </w:rPr>
            <w:t>六、课程设置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_Toc4507 \h </w:instrText>
          </w:r>
          <w:r>
            <w:rPr>
              <w:rFonts w:hint="eastAsia" w:ascii="黑体" w:hAnsi="黑体" w:eastAsia="黑体" w:cs="黑体"/>
              <w:sz w:val="28"/>
              <w:szCs w:val="28"/>
            </w:rPr>
            <w:fldChar w:fldCharType="separate"/>
          </w:r>
          <w:r>
            <w:rPr>
              <w:rFonts w:hint="eastAsia" w:ascii="黑体" w:hAnsi="黑体" w:eastAsia="黑体" w:cs="黑体"/>
              <w:sz w:val="28"/>
              <w:szCs w:val="28"/>
            </w:rPr>
            <w:t>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"_Toc23348" </w:instrText>
          </w:r>
          <w:r>
            <w:fldChar w:fldCharType="separate"/>
          </w:r>
          <w:r>
            <w:rPr>
              <w:rFonts w:hint="eastAsia" w:ascii="黑体" w:hAnsi="黑体" w:eastAsia="黑体" w:cs="黑体"/>
              <w:sz w:val="28"/>
              <w:szCs w:val="28"/>
            </w:rPr>
            <w:t>七、学时安排</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_Toc23348 \h </w:instrText>
          </w:r>
          <w:r>
            <w:rPr>
              <w:rFonts w:hint="eastAsia" w:ascii="黑体" w:hAnsi="黑体" w:eastAsia="黑体" w:cs="黑体"/>
              <w:sz w:val="28"/>
              <w:szCs w:val="28"/>
            </w:rPr>
            <w:fldChar w:fldCharType="separate"/>
          </w:r>
          <w:r>
            <w:rPr>
              <w:rFonts w:hint="eastAsia" w:ascii="黑体" w:hAnsi="黑体" w:eastAsia="黑体" w:cs="黑体"/>
              <w:sz w:val="28"/>
              <w:szCs w:val="28"/>
            </w:rPr>
            <w:t>12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"_Toc20585" </w:instrText>
          </w:r>
          <w:r>
            <w:fldChar w:fldCharType="separate"/>
          </w:r>
          <w:r>
            <w:rPr>
              <w:rFonts w:hint="eastAsia" w:ascii="黑体" w:hAnsi="黑体" w:eastAsia="黑体" w:cs="黑体"/>
              <w:sz w:val="28"/>
              <w:szCs w:val="28"/>
            </w:rPr>
            <w:t>八、教学进程总体安排</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_Toc20585 \h </w:instrText>
          </w:r>
          <w:r>
            <w:rPr>
              <w:rFonts w:hint="eastAsia" w:ascii="黑体" w:hAnsi="黑体" w:eastAsia="黑体" w:cs="黑体"/>
              <w:sz w:val="28"/>
              <w:szCs w:val="28"/>
            </w:rPr>
            <w:fldChar w:fldCharType="separate"/>
          </w:r>
          <w:r>
            <w:rPr>
              <w:rFonts w:hint="eastAsia" w:ascii="黑体" w:hAnsi="黑体" w:eastAsia="黑体" w:cs="黑体"/>
              <w:sz w:val="28"/>
              <w:szCs w:val="28"/>
            </w:rPr>
            <w:t>12</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"_Toc11796" </w:instrText>
          </w:r>
          <w:r>
            <w:fldChar w:fldCharType="separate"/>
          </w:r>
          <w:r>
            <w:rPr>
              <w:rFonts w:hint="eastAsia" w:ascii="黑体" w:hAnsi="黑体" w:eastAsia="黑体" w:cs="黑体"/>
              <w:sz w:val="28"/>
              <w:szCs w:val="28"/>
            </w:rPr>
            <w:t>九、实施保障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_Toc11796 \h </w:instrText>
          </w:r>
          <w:r>
            <w:rPr>
              <w:rFonts w:hint="eastAsia" w:ascii="黑体" w:hAnsi="黑体" w:eastAsia="黑体" w:cs="黑体"/>
              <w:sz w:val="28"/>
              <w:szCs w:val="28"/>
            </w:rPr>
            <w:fldChar w:fldCharType="separate"/>
          </w:r>
          <w:r>
            <w:rPr>
              <w:rFonts w:hint="eastAsia" w:ascii="黑体" w:hAnsi="黑体" w:eastAsia="黑体" w:cs="黑体"/>
              <w:sz w:val="28"/>
              <w:szCs w:val="28"/>
            </w:rPr>
            <w:t>15</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40"/>
            <w:tabs>
              <w:tab w:val="right" w:leader="dot" w:pos="8250"/>
            </w:tabs>
            <w:rPr>
              <w:rFonts w:ascii="黑体" w:hAnsi="黑体" w:eastAsia="黑体" w:cs="黑体"/>
              <w:sz w:val="28"/>
              <w:szCs w:val="28"/>
            </w:rPr>
          </w:pPr>
          <w:r>
            <w:fldChar w:fldCharType="begin"/>
          </w:r>
          <w:r>
            <w:instrText xml:space="preserve"> HYPERLINK \l "_Toc12421" </w:instrText>
          </w:r>
          <w:r>
            <w:fldChar w:fldCharType="separate"/>
          </w:r>
          <w:r>
            <w:rPr>
              <w:rFonts w:hint="eastAsia" w:ascii="黑体" w:hAnsi="黑体" w:eastAsia="黑体" w:cs="黑体"/>
              <w:sz w:val="28"/>
              <w:szCs w:val="28"/>
            </w:rPr>
            <w:t>十、毕业要求</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_Toc12421 \h </w:instrText>
          </w:r>
          <w:r>
            <w:rPr>
              <w:rFonts w:hint="eastAsia" w:ascii="黑体" w:hAnsi="黑体" w:eastAsia="黑体" w:cs="黑体"/>
              <w:sz w:val="28"/>
              <w:szCs w:val="28"/>
            </w:rPr>
            <w:fldChar w:fldCharType="separate"/>
          </w:r>
          <w:r>
            <w:rPr>
              <w:rFonts w:hint="eastAsia" w:ascii="黑体" w:hAnsi="黑体" w:eastAsia="黑体" w:cs="黑体"/>
              <w:sz w:val="28"/>
              <w:szCs w:val="28"/>
            </w:rPr>
            <w:t>17</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ind w:firstLine="420" w:firstLineChars="200"/>
            <w:rPr>
              <w:rFonts w:ascii="黑体" w:hAnsi="黑体" w:eastAsia="黑体" w:cs="黑体"/>
              <w:sz w:val="36"/>
            </w:rPr>
          </w:pPr>
          <w:r>
            <w:rPr>
              <w:rFonts w:hint="eastAsia" w:ascii="黑体" w:hAnsi="黑体" w:eastAsia="黑体" w:cs="黑体"/>
            </w:rPr>
            <w:fldChar w:fldCharType="end"/>
          </w:r>
        </w:p>
      </w:sdtContent>
    </w:sdt>
    <w:p>
      <w:pPr>
        <w:ind w:firstLine="720" w:firstLineChars="200"/>
        <w:jc w:val="center"/>
        <w:rPr>
          <w:rFonts w:ascii="黑体" w:hAnsi="黑体" w:eastAsia="黑体" w:cs="黑体"/>
          <w:sz w:val="36"/>
        </w:rPr>
      </w:pPr>
    </w:p>
    <w:p>
      <w:pPr>
        <w:pStyle w:val="15"/>
      </w:pPr>
    </w:p>
    <w:p>
      <w:pPr>
        <w:ind w:firstLine="720" w:firstLineChars="200"/>
        <w:jc w:val="center"/>
        <w:rPr>
          <w:rFonts w:ascii="黑体" w:hAnsi="黑体" w:eastAsia="黑体" w:cs="黑体"/>
          <w:sz w:val="36"/>
        </w:rPr>
      </w:pPr>
    </w:p>
    <w:p>
      <w:pPr>
        <w:ind w:firstLine="720" w:firstLineChars="200"/>
        <w:jc w:val="center"/>
        <w:rPr>
          <w:rFonts w:ascii="黑体" w:hAnsi="黑体" w:eastAsia="黑体" w:cs="黑体"/>
          <w:sz w:val="36"/>
        </w:rPr>
      </w:pPr>
    </w:p>
    <w:p>
      <w:pPr>
        <w:ind w:firstLine="720" w:firstLineChars="200"/>
        <w:jc w:val="center"/>
        <w:rPr>
          <w:rFonts w:ascii="黑体" w:hAnsi="黑体" w:eastAsia="黑体" w:cs="黑体"/>
          <w:sz w:val="36"/>
        </w:rPr>
      </w:pPr>
    </w:p>
    <w:p>
      <w:pPr>
        <w:ind w:firstLine="720" w:firstLineChars="200"/>
        <w:jc w:val="center"/>
        <w:rPr>
          <w:rFonts w:ascii="黑体" w:hAnsi="黑体" w:eastAsia="黑体" w:cs="黑体"/>
          <w:sz w:val="36"/>
        </w:rPr>
      </w:pPr>
    </w:p>
    <w:p>
      <w:pPr>
        <w:ind w:firstLine="720" w:firstLineChars="200"/>
        <w:jc w:val="center"/>
        <w:rPr>
          <w:rFonts w:ascii="黑体" w:hAnsi="黑体" w:eastAsia="黑体" w:cs="黑体"/>
          <w:sz w:val="36"/>
        </w:rPr>
      </w:pPr>
    </w:p>
    <w:p>
      <w:pPr>
        <w:ind w:firstLine="720" w:firstLineChars="200"/>
        <w:jc w:val="center"/>
        <w:rPr>
          <w:rFonts w:hint="eastAsia" w:ascii="黑体" w:hAnsi="黑体" w:eastAsia="黑体" w:cs="黑体"/>
          <w:sz w:val="36"/>
        </w:rPr>
      </w:pPr>
    </w:p>
    <w:p>
      <w:pPr>
        <w:ind w:firstLine="720" w:firstLineChars="200"/>
        <w:jc w:val="center"/>
        <w:rPr>
          <w:rFonts w:hint="eastAsia" w:ascii="黑体" w:hAnsi="黑体" w:eastAsia="黑体" w:cs="黑体"/>
          <w:sz w:val="36"/>
        </w:rPr>
      </w:pPr>
    </w:p>
    <w:p>
      <w:pPr>
        <w:ind w:firstLine="720" w:firstLineChars="200"/>
        <w:jc w:val="center"/>
        <w:rPr>
          <w:rFonts w:ascii="黑体" w:hAnsi="黑体" w:eastAsia="黑体" w:cs="黑体"/>
          <w:sz w:val="36"/>
        </w:rPr>
      </w:pPr>
    </w:p>
    <w:p>
      <w:pPr>
        <w:rPr>
          <w:rFonts w:ascii="黑体" w:hAnsi="黑体" w:eastAsia="黑体" w:cs="黑体"/>
          <w:sz w:val="36"/>
        </w:rPr>
      </w:pPr>
    </w:p>
    <w:p>
      <w:pPr>
        <w:pStyle w:val="15"/>
      </w:pPr>
    </w:p>
    <w:p>
      <w:pPr>
        <w:ind w:firstLine="720" w:firstLineChars="200"/>
        <w:jc w:val="both"/>
        <w:outlineLvl w:val="0"/>
        <w:rPr>
          <w:rFonts w:ascii="黑体" w:hAnsi="黑体" w:eastAsia="黑体" w:cs="黑体"/>
          <w:sz w:val="36"/>
        </w:rPr>
      </w:pPr>
      <w:bookmarkStart w:id="0" w:name="_Toc27580"/>
      <w:bookmarkStart w:id="12" w:name="_GoBack"/>
      <w:bookmarkEnd w:id="12"/>
      <w:r>
        <w:rPr>
          <w:rFonts w:hint="eastAsia" w:ascii="黑体" w:hAnsi="黑体" w:eastAsia="黑体" w:cs="黑体"/>
          <w:sz w:val="36"/>
        </w:rPr>
        <w:t>大数据与会计专业人才培养方案</w:t>
      </w:r>
      <w:bookmarkEnd w:id="0"/>
    </w:p>
    <w:p>
      <w:pPr>
        <w:pStyle w:val="15"/>
      </w:pPr>
    </w:p>
    <w:p>
      <w:pPr>
        <w:pStyle w:val="2"/>
        <w:spacing w:before="0" w:after="0" w:line="312" w:lineRule="auto"/>
        <w:ind w:firstLine="560" w:firstLineChars="200"/>
        <w:rPr>
          <w:rFonts w:ascii="黑体" w:hAnsi="黑体" w:eastAsia="黑体" w:cs="黑体"/>
          <w:b w:val="0"/>
          <w:sz w:val="28"/>
          <w:szCs w:val="28"/>
        </w:rPr>
      </w:pPr>
      <w:bookmarkStart w:id="1" w:name="_Toc6929"/>
      <w:r>
        <w:rPr>
          <w:rFonts w:hint="eastAsia" w:ascii="黑体" w:hAnsi="黑体" w:eastAsia="黑体" w:cs="黑体"/>
          <w:b w:val="0"/>
          <w:bCs w:val="0"/>
          <w:sz w:val="28"/>
          <w:szCs w:val="28"/>
        </w:rPr>
        <w:t>一、专业名称及代码</w:t>
      </w:r>
      <w:bookmarkEnd w:id="1"/>
    </w:p>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szCs w:val="21"/>
        </w:rPr>
        <w:t xml:space="preserve">专业名称：大数据与会计 </w:t>
      </w:r>
    </w:p>
    <w:p>
      <w:pPr>
        <w:adjustRightInd w:val="0"/>
        <w:snapToGrid w:val="0"/>
        <w:spacing w:line="312" w:lineRule="auto"/>
        <w:ind w:firstLine="420" w:firstLineChars="200"/>
        <w:jc w:val="left"/>
        <w:rPr>
          <w:rFonts w:ascii="宋体" w:hAnsi="宋体" w:eastAsia="宋体" w:cs="宋体"/>
          <w:szCs w:val="21"/>
          <w:highlight w:val="yellow"/>
        </w:rPr>
      </w:pPr>
      <w:r>
        <w:rPr>
          <w:rFonts w:hint="eastAsia" w:ascii="宋体" w:hAnsi="宋体" w:eastAsia="宋体" w:cs="宋体"/>
          <w:szCs w:val="21"/>
        </w:rPr>
        <w:t>专业代码：530302</w:t>
      </w:r>
    </w:p>
    <w:p>
      <w:pPr>
        <w:pStyle w:val="2"/>
        <w:spacing w:before="0" w:after="0" w:line="312" w:lineRule="auto"/>
        <w:ind w:firstLine="560" w:firstLineChars="200"/>
        <w:rPr>
          <w:rFonts w:ascii="黑体" w:hAnsi="黑体" w:eastAsia="黑体" w:cs="黑体"/>
          <w:b w:val="0"/>
          <w:bCs w:val="0"/>
          <w:sz w:val="28"/>
          <w:szCs w:val="28"/>
        </w:rPr>
      </w:pPr>
      <w:bookmarkStart w:id="2" w:name="_Toc20409"/>
      <w:r>
        <w:rPr>
          <w:rFonts w:hint="eastAsia" w:ascii="黑体" w:hAnsi="黑体" w:eastAsia="黑体" w:cs="黑体"/>
          <w:b w:val="0"/>
          <w:bCs w:val="0"/>
          <w:sz w:val="28"/>
          <w:szCs w:val="28"/>
        </w:rPr>
        <w:t>二、入学要求</w:t>
      </w:r>
      <w:bookmarkEnd w:id="2"/>
    </w:p>
    <w:p>
      <w:pPr>
        <w:adjustRightInd w:val="0"/>
        <w:snapToGrid w:val="0"/>
        <w:spacing w:line="312"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普通高级中学毕业或具备同等学力</w:t>
      </w:r>
    </w:p>
    <w:p>
      <w:pPr>
        <w:pStyle w:val="2"/>
        <w:spacing w:before="0" w:after="0" w:line="312" w:lineRule="auto"/>
        <w:ind w:firstLine="560" w:firstLineChars="200"/>
        <w:rPr>
          <w:rFonts w:ascii="黑体" w:hAnsi="黑体" w:eastAsia="黑体" w:cs="黑体"/>
          <w:b w:val="0"/>
          <w:bCs w:val="0"/>
          <w:sz w:val="28"/>
          <w:szCs w:val="28"/>
        </w:rPr>
      </w:pPr>
      <w:bookmarkStart w:id="3" w:name="_Toc8507"/>
      <w:r>
        <w:rPr>
          <w:rFonts w:hint="eastAsia" w:ascii="黑体" w:hAnsi="黑体" w:eastAsia="黑体" w:cs="黑体"/>
          <w:b w:val="0"/>
          <w:bCs w:val="0"/>
          <w:sz w:val="28"/>
          <w:szCs w:val="28"/>
        </w:rPr>
        <w:t>三、修业年限</w:t>
      </w:r>
      <w:bookmarkEnd w:id="3"/>
    </w:p>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szCs w:val="21"/>
        </w:rPr>
        <w:t>学历层次：专科</w:t>
      </w:r>
    </w:p>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szCs w:val="21"/>
        </w:rPr>
        <w:t>修业年限：全日制三年</w:t>
      </w:r>
    </w:p>
    <w:p>
      <w:pPr>
        <w:pStyle w:val="2"/>
        <w:spacing w:before="0" w:after="0" w:line="312" w:lineRule="auto"/>
        <w:ind w:firstLine="560" w:firstLineChars="200"/>
        <w:rPr>
          <w:rFonts w:ascii="黑体" w:hAnsi="黑体" w:eastAsia="黑体" w:cs="黑体"/>
          <w:b w:val="0"/>
          <w:bCs w:val="0"/>
          <w:sz w:val="28"/>
          <w:szCs w:val="28"/>
        </w:rPr>
      </w:pPr>
      <w:bookmarkStart w:id="4" w:name="_Toc30710"/>
      <w:r>
        <w:rPr>
          <w:rFonts w:hint="eastAsia" w:ascii="黑体" w:hAnsi="黑体" w:eastAsia="黑体" w:cs="黑体"/>
          <w:b w:val="0"/>
          <w:bCs w:val="0"/>
          <w:sz w:val="28"/>
          <w:szCs w:val="28"/>
        </w:rPr>
        <w:t>四、职业面向</w:t>
      </w:r>
      <w:bookmarkEnd w:id="4"/>
    </w:p>
    <w:tbl>
      <w:tblPr>
        <w:tblStyle w:val="16"/>
        <w:tblpPr w:leftFromText="180" w:rightFromText="180" w:vertAnchor="text" w:horzAnchor="margin" w:tblpXSpec="center" w:tblpY="67"/>
        <w:tblW w:w="94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3"/>
        <w:gridCol w:w="1164"/>
        <w:gridCol w:w="1716"/>
        <w:gridCol w:w="1584"/>
        <w:gridCol w:w="1716"/>
        <w:gridCol w:w="19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2" w:hRule="exact"/>
          <w:jc w:val="center"/>
        </w:trPr>
        <w:tc>
          <w:tcPr>
            <w:tcW w:w="1273" w:type="dxa"/>
            <w:vAlign w:val="center"/>
          </w:tcPr>
          <w:p>
            <w:pPr>
              <w:jc w:val="center"/>
              <w:rPr>
                <w:rFonts w:ascii="宋体" w:hAnsi="宋体" w:eastAsia="宋体" w:cs="宋体"/>
                <w:sz w:val="18"/>
                <w:szCs w:val="18"/>
              </w:rPr>
            </w:pPr>
            <w:r>
              <w:rPr>
                <w:rFonts w:hint="eastAsia" w:ascii="宋体" w:hAnsi="宋体" w:eastAsia="宋体" w:cs="宋体"/>
                <w:sz w:val="18"/>
                <w:szCs w:val="18"/>
              </w:rPr>
              <w:t>所属专业大类（代码）</w:t>
            </w:r>
          </w:p>
        </w:tc>
        <w:tc>
          <w:tcPr>
            <w:tcW w:w="1164" w:type="dxa"/>
            <w:vAlign w:val="center"/>
          </w:tcPr>
          <w:p>
            <w:pPr>
              <w:jc w:val="center"/>
              <w:rPr>
                <w:rFonts w:ascii="宋体" w:hAnsi="宋体" w:eastAsia="宋体" w:cs="宋体"/>
                <w:sz w:val="18"/>
                <w:szCs w:val="18"/>
              </w:rPr>
            </w:pPr>
            <w:r>
              <w:rPr>
                <w:rFonts w:hint="eastAsia" w:ascii="宋体" w:hAnsi="宋体" w:eastAsia="宋体" w:cs="宋体"/>
                <w:sz w:val="18"/>
                <w:szCs w:val="18"/>
              </w:rPr>
              <w:t>所属专业类（代码）</w:t>
            </w:r>
          </w:p>
        </w:tc>
        <w:tc>
          <w:tcPr>
            <w:tcW w:w="1716" w:type="dxa"/>
            <w:vAlign w:val="center"/>
          </w:tcPr>
          <w:p>
            <w:pPr>
              <w:jc w:val="center"/>
              <w:rPr>
                <w:rFonts w:ascii="宋体" w:hAnsi="宋体" w:eastAsia="宋体" w:cs="宋体"/>
                <w:sz w:val="18"/>
                <w:szCs w:val="18"/>
              </w:rPr>
            </w:pPr>
            <w:r>
              <w:rPr>
                <w:rFonts w:hint="eastAsia" w:ascii="宋体" w:hAnsi="宋体" w:eastAsia="宋体" w:cs="宋体"/>
                <w:sz w:val="18"/>
                <w:szCs w:val="18"/>
              </w:rPr>
              <w:t>对应行业（代码）</w:t>
            </w:r>
          </w:p>
        </w:tc>
        <w:tc>
          <w:tcPr>
            <w:tcW w:w="1584" w:type="dxa"/>
            <w:vAlign w:val="center"/>
          </w:tcPr>
          <w:p>
            <w:pPr>
              <w:jc w:val="center"/>
              <w:rPr>
                <w:rFonts w:ascii="宋体" w:hAnsi="宋体" w:eastAsia="宋体" w:cs="宋体"/>
                <w:sz w:val="18"/>
                <w:szCs w:val="18"/>
              </w:rPr>
            </w:pPr>
            <w:r>
              <w:rPr>
                <w:rFonts w:hint="eastAsia" w:ascii="宋体" w:hAnsi="宋体" w:eastAsia="宋体" w:cs="宋体"/>
                <w:sz w:val="18"/>
                <w:szCs w:val="18"/>
              </w:rPr>
              <w:t>主要职业类别（代码）</w:t>
            </w:r>
          </w:p>
        </w:tc>
        <w:tc>
          <w:tcPr>
            <w:tcW w:w="1716" w:type="dxa"/>
            <w:vAlign w:val="center"/>
          </w:tcPr>
          <w:p>
            <w:pPr>
              <w:jc w:val="center"/>
              <w:rPr>
                <w:rFonts w:ascii="宋体" w:hAnsi="宋体" w:eastAsia="宋体" w:cs="宋体"/>
                <w:sz w:val="18"/>
                <w:szCs w:val="18"/>
              </w:rPr>
            </w:pPr>
            <w:r>
              <w:rPr>
                <w:rFonts w:hint="eastAsia" w:ascii="宋体" w:hAnsi="宋体" w:eastAsia="宋体" w:cs="宋体"/>
                <w:sz w:val="18"/>
                <w:szCs w:val="18"/>
              </w:rPr>
              <w:t>主要岗位类别（或技术领域）</w:t>
            </w:r>
          </w:p>
        </w:tc>
        <w:tc>
          <w:tcPr>
            <w:tcW w:w="1982" w:type="dxa"/>
            <w:vAlign w:val="center"/>
          </w:tcPr>
          <w:p>
            <w:pPr>
              <w:jc w:val="center"/>
              <w:rPr>
                <w:rFonts w:ascii="宋体" w:hAnsi="宋体" w:eastAsia="宋体" w:cs="宋体"/>
                <w:sz w:val="18"/>
                <w:szCs w:val="18"/>
              </w:rPr>
            </w:pPr>
            <w:r>
              <w:rPr>
                <w:rFonts w:hint="eastAsia" w:ascii="宋体" w:hAnsi="宋体" w:eastAsia="宋体" w:cs="宋体"/>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3" w:hRule="exact"/>
          <w:jc w:val="center"/>
        </w:trPr>
        <w:tc>
          <w:tcPr>
            <w:tcW w:w="1273" w:type="dxa"/>
            <w:vAlign w:val="center"/>
          </w:tcPr>
          <w:p>
            <w:pPr>
              <w:jc w:val="center"/>
              <w:rPr>
                <w:rFonts w:ascii="宋体" w:hAnsi="宋体" w:eastAsia="宋体" w:cs="宋体"/>
                <w:sz w:val="18"/>
                <w:szCs w:val="18"/>
              </w:rPr>
            </w:pPr>
            <w:r>
              <w:rPr>
                <w:rFonts w:hint="eastAsia" w:ascii="宋体" w:hAnsi="宋体" w:eastAsia="宋体" w:cs="宋体"/>
                <w:sz w:val="18"/>
                <w:szCs w:val="18"/>
              </w:rPr>
              <w:t>财经商贸大类（53）</w:t>
            </w:r>
          </w:p>
        </w:tc>
        <w:tc>
          <w:tcPr>
            <w:tcW w:w="1164" w:type="dxa"/>
            <w:vAlign w:val="center"/>
          </w:tcPr>
          <w:p>
            <w:pPr>
              <w:jc w:val="center"/>
              <w:rPr>
                <w:rFonts w:ascii="宋体" w:hAnsi="宋体" w:eastAsia="宋体" w:cs="宋体"/>
                <w:sz w:val="18"/>
                <w:szCs w:val="18"/>
              </w:rPr>
            </w:pPr>
            <w:r>
              <w:rPr>
                <w:rFonts w:hint="eastAsia" w:ascii="宋体" w:hAnsi="宋体" w:eastAsia="宋体" w:cs="宋体"/>
                <w:sz w:val="18"/>
                <w:szCs w:val="18"/>
              </w:rPr>
              <w:t>财务会计类（5303）</w:t>
            </w:r>
          </w:p>
        </w:tc>
        <w:tc>
          <w:tcPr>
            <w:tcW w:w="1716" w:type="dxa"/>
            <w:vAlign w:val="center"/>
          </w:tcPr>
          <w:p>
            <w:pPr>
              <w:jc w:val="center"/>
              <w:rPr>
                <w:rFonts w:ascii="宋体" w:hAnsi="宋体" w:eastAsia="宋体" w:cs="宋体"/>
                <w:sz w:val="18"/>
                <w:szCs w:val="18"/>
              </w:rPr>
            </w:pPr>
            <w:r>
              <w:rPr>
                <w:rFonts w:hint="eastAsia" w:ascii="宋体" w:hAnsi="宋体" w:eastAsia="宋体" w:cs="宋体"/>
                <w:sz w:val="18"/>
                <w:szCs w:val="18"/>
              </w:rPr>
              <w:t>会计、审计及税务服务（7241）</w:t>
            </w:r>
          </w:p>
          <w:p>
            <w:pPr>
              <w:jc w:val="center"/>
              <w:rPr>
                <w:rFonts w:ascii="宋体" w:hAnsi="宋体" w:eastAsia="宋体" w:cs="宋体"/>
                <w:sz w:val="18"/>
                <w:szCs w:val="18"/>
              </w:rPr>
            </w:pPr>
            <w:r>
              <w:rPr>
                <w:rFonts w:hint="eastAsia" w:ascii="宋体" w:hAnsi="宋体" w:eastAsia="宋体" w:cs="宋体"/>
                <w:sz w:val="18"/>
                <w:szCs w:val="18"/>
              </w:rPr>
              <w:t>互联网数据服务（6450）</w:t>
            </w:r>
          </w:p>
        </w:tc>
        <w:tc>
          <w:tcPr>
            <w:tcW w:w="1584" w:type="dxa"/>
            <w:vAlign w:val="center"/>
          </w:tcPr>
          <w:p>
            <w:pPr>
              <w:jc w:val="center"/>
              <w:rPr>
                <w:rFonts w:ascii="宋体" w:hAnsi="宋体" w:eastAsia="宋体" w:cs="宋体"/>
                <w:sz w:val="18"/>
                <w:szCs w:val="18"/>
              </w:rPr>
            </w:pPr>
            <w:r>
              <w:rPr>
                <w:rFonts w:hint="eastAsia" w:ascii="宋体" w:hAnsi="宋体" w:eastAsia="宋体" w:cs="宋体"/>
                <w:sz w:val="18"/>
                <w:szCs w:val="18"/>
              </w:rPr>
              <w:t>会计专业人员（2-06-03-00）</w:t>
            </w:r>
          </w:p>
          <w:p>
            <w:pPr>
              <w:jc w:val="center"/>
              <w:rPr>
                <w:rFonts w:ascii="宋体" w:hAnsi="宋体" w:eastAsia="宋体" w:cs="宋体"/>
                <w:sz w:val="18"/>
                <w:szCs w:val="18"/>
              </w:rPr>
            </w:pPr>
            <w:r>
              <w:rPr>
                <w:rFonts w:hint="eastAsia" w:ascii="宋体" w:hAnsi="宋体" w:eastAsia="宋体" w:cs="宋体"/>
                <w:sz w:val="18"/>
                <w:szCs w:val="18"/>
              </w:rPr>
              <w:t>税务专业人员（2-06-05-00）</w:t>
            </w:r>
          </w:p>
          <w:p>
            <w:pPr>
              <w:jc w:val="center"/>
              <w:rPr>
                <w:rFonts w:ascii="宋体" w:hAnsi="宋体" w:eastAsia="宋体" w:cs="宋体"/>
                <w:sz w:val="18"/>
                <w:szCs w:val="18"/>
              </w:rPr>
            </w:pPr>
            <w:r>
              <w:rPr>
                <w:rFonts w:hint="eastAsia" w:ascii="宋体" w:hAnsi="宋体" w:eastAsia="宋体" w:cs="宋体"/>
                <w:sz w:val="18"/>
                <w:szCs w:val="18"/>
              </w:rPr>
              <w:t>大数据工程技术人员（2-02-10-11）</w:t>
            </w:r>
          </w:p>
        </w:tc>
        <w:tc>
          <w:tcPr>
            <w:tcW w:w="1716" w:type="dxa"/>
            <w:vAlign w:val="center"/>
          </w:tcPr>
          <w:p>
            <w:pPr>
              <w:jc w:val="center"/>
              <w:rPr>
                <w:rFonts w:ascii="宋体" w:hAnsi="宋体" w:eastAsia="宋体" w:cs="宋体"/>
                <w:sz w:val="18"/>
                <w:szCs w:val="18"/>
              </w:rPr>
            </w:pPr>
            <w:r>
              <w:rPr>
                <w:rFonts w:hint="eastAsia" w:ascii="宋体" w:hAnsi="宋体" w:eastAsia="宋体" w:cs="宋体"/>
                <w:sz w:val="18"/>
                <w:szCs w:val="18"/>
              </w:rPr>
              <w:t>会计核算、会计监督、税务管理、审计、财务数字化管理</w:t>
            </w:r>
          </w:p>
        </w:tc>
        <w:tc>
          <w:tcPr>
            <w:tcW w:w="1982" w:type="dxa"/>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会计专业技术初级资格证书、业财一体信息化应用技能等级证书（初级、中级）</w:t>
            </w:r>
          </w:p>
        </w:tc>
      </w:tr>
    </w:tbl>
    <w:p>
      <w:pPr>
        <w:pStyle w:val="2"/>
        <w:spacing w:before="0" w:after="0" w:line="312" w:lineRule="auto"/>
        <w:ind w:firstLine="560" w:firstLineChars="200"/>
        <w:rPr>
          <w:rFonts w:ascii="黑体" w:hAnsi="黑体" w:eastAsia="黑体" w:cs="黑体"/>
          <w:b w:val="0"/>
          <w:bCs w:val="0"/>
          <w:sz w:val="28"/>
          <w:szCs w:val="28"/>
        </w:rPr>
      </w:pPr>
      <w:bookmarkStart w:id="5" w:name="_Toc1267"/>
      <w:r>
        <w:rPr>
          <w:rFonts w:hint="eastAsia" w:ascii="黑体" w:hAnsi="黑体" w:eastAsia="黑体" w:cs="黑体"/>
          <w:b w:val="0"/>
          <w:bCs w:val="0"/>
          <w:sz w:val="28"/>
          <w:szCs w:val="28"/>
        </w:rPr>
        <w:t>五、培养目标与培养规格</w:t>
      </w:r>
      <w:bookmarkEnd w:id="5"/>
    </w:p>
    <w:p>
      <w:pPr>
        <w:adjustRightInd w:val="0"/>
        <w:snapToGrid w:val="0"/>
        <w:spacing w:line="312" w:lineRule="auto"/>
        <w:ind w:firstLine="480" w:firstLineChars="200"/>
        <w:jc w:val="left"/>
        <w:rPr>
          <w:rFonts w:ascii="宋体" w:hAnsi="宋体" w:eastAsia="宋体" w:cs="宋体"/>
          <w:color w:val="1A1A1A" w:themeColor="background1" w:themeShade="1A"/>
          <w:sz w:val="24"/>
          <w:szCs w:val="24"/>
        </w:rPr>
      </w:pPr>
      <w:r>
        <w:rPr>
          <w:rFonts w:hint="eastAsia" w:ascii="宋体" w:hAnsi="宋体" w:eastAsia="宋体" w:cs="宋体"/>
          <w:color w:val="1A1A1A" w:themeColor="background1" w:themeShade="1A"/>
          <w:sz w:val="24"/>
          <w:szCs w:val="24"/>
        </w:rPr>
        <w:t>（一）培养目标</w:t>
      </w:r>
    </w:p>
    <w:p>
      <w:pPr>
        <w:adjustRightInd w:val="0"/>
        <w:snapToGrid w:val="0"/>
        <w:spacing w:line="312" w:lineRule="auto"/>
        <w:ind w:firstLine="420" w:firstLineChars="200"/>
        <w:jc w:val="left"/>
        <w:rPr>
          <w:rFonts w:ascii="宋体" w:hAnsi="宋体" w:eastAsia="宋体" w:cs="宋体"/>
          <w:bCs/>
          <w:szCs w:val="21"/>
        </w:rPr>
      </w:pPr>
      <w:r>
        <w:rPr>
          <w:rFonts w:hint="eastAsia" w:ascii="宋体" w:hAnsi="宋体" w:eastAsia="宋体" w:cs="宋体"/>
          <w:bCs/>
          <w:szCs w:val="21"/>
        </w:rPr>
        <w:t>本专业培养理想信念坚定，德智体美劳全面发展，立志服务乡村振兴、服务民族地区，具备“下得去、用得上、干得好、留得住、有发展”的“四得一有”综合素质，具有一定的科学文化水平，良好的人文素养、数据素养、职业道德和创新意识，精益求精的工匠精神，较强的就业能力和可持续发展的能力；掌握会计核算、涉税管理、财务管理、审计、数据分析等专业知识和具备较强的会计实务操作等专业技能，面向各类中小企业、会计师事务所、非营利组织、政府与事业单位等职业群，能够从事出纳、会计、财务管理、会计主管及审计等工作的复合型高素质技术技能人才。</w:t>
      </w:r>
    </w:p>
    <w:p>
      <w:pPr>
        <w:adjustRightInd w:val="0"/>
        <w:snapToGrid w:val="0"/>
        <w:spacing w:line="312" w:lineRule="auto"/>
        <w:ind w:firstLine="480" w:firstLineChars="200"/>
        <w:jc w:val="left"/>
        <w:rPr>
          <w:rFonts w:ascii="宋体" w:hAnsi="宋体" w:eastAsia="宋体" w:cs="宋体"/>
          <w:color w:val="1A1A1A" w:themeColor="background1" w:themeShade="1A"/>
          <w:sz w:val="24"/>
          <w:szCs w:val="24"/>
        </w:rPr>
      </w:pPr>
      <w:r>
        <w:rPr>
          <w:rFonts w:hint="eastAsia" w:ascii="宋体" w:hAnsi="宋体" w:eastAsia="宋体" w:cs="宋体"/>
          <w:color w:val="1A1A1A" w:themeColor="background1" w:themeShade="1A"/>
          <w:sz w:val="24"/>
          <w:szCs w:val="24"/>
        </w:rPr>
        <w:t>（二）培养规格</w:t>
      </w:r>
    </w:p>
    <w:p>
      <w:pPr>
        <w:pStyle w:val="15"/>
      </w:pPr>
      <w:r>
        <w:rPr>
          <w:rFonts w:hint="eastAsia"/>
        </w:rPr>
        <w:t>本专业毕业生应具备的素质、知识和能力要求如表5-1。</w:t>
      </w:r>
    </w:p>
    <w:p>
      <w:pPr>
        <w:pStyle w:val="15"/>
        <w:jc w:val="center"/>
      </w:pPr>
      <w:r>
        <w:rPr>
          <w:rFonts w:hint="eastAsia"/>
        </w:rPr>
        <w:t>表5-1 培养规格一览表</w:t>
      </w:r>
    </w:p>
    <w:tbl>
      <w:tblPr>
        <w:tblStyle w:val="1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4607"/>
        <w:gridCol w:w="3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结构</w:t>
            </w:r>
          </w:p>
        </w:tc>
        <w:tc>
          <w:tcPr>
            <w:tcW w:w="4607" w:type="dxa"/>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要求</w:t>
            </w:r>
          </w:p>
        </w:tc>
        <w:tc>
          <w:tcPr>
            <w:tcW w:w="3835" w:type="dxa"/>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restart"/>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素</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质</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要</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求</w:t>
            </w: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1.坚定拥护中国共产党领导和我国社会主义制度，在习近平新时代中国特色社会主义思想指引下，践行社会主义核心价值观，具有深厚的爱国情感和中华民族自豪感</w:t>
            </w:r>
          </w:p>
        </w:tc>
        <w:tc>
          <w:tcPr>
            <w:tcW w:w="3835" w:type="dxa"/>
            <w:vAlign w:val="center"/>
          </w:tcPr>
          <w:p>
            <w:pPr>
              <w:adjustRightInd w:val="0"/>
              <w:snapToGrid w:val="0"/>
              <w:spacing w:line="260" w:lineRule="exact"/>
              <w:rPr>
                <w:rFonts w:ascii="宋体" w:hAnsi="宋体" w:eastAsia="宋体" w:cs="宋体"/>
                <w:sz w:val="18"/>
                <w:szCs w:val="18"/>
              </w:rPr>
            </w:pPr>
            <w:r>
              <w:rPr>
                <w:rFonts w:hint="eastAsia" w:ascii="宋体" w:hAnsi="宋体" w:eastAsia="宋体" w:cs="宋体"/>
                <w:sz w:val="18"/>
                <w:szCs w:val="18"/>
              </w:rPr>
              <w:t>毛泽东思想和中国特色社会主义理论体系概论、思想道德修养与法律基础、马克思主义中国化进程与青年学生使命担当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2.崇尚宪法、遵法守纪、崇德向善、诚实守信、尊重生命、热爱劳动，履行道德准则和行为规范，具有社会责任感和社会参与意识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形势与政策、</w:t>
            </w:r>
            <w:r>
              <w:rPr>
                <w:rFonts w:hint="eastAsia" w:ascii="宋体" w:hAnsi="宋体" w:eastAsia="宋体" w:cs="宋体"/>
                <w:color w:val="000000"/>
                <w:sz w:val="18"/>
                <w:szCs w:val="18"/>
              </w:rPr>
              <w:t>军事理论、公益劳动、社会实践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3.具有质量意识、环保意识、安全意识、信息素养、工匠精神和创新思维、全球视野和市场洞察力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创新思维、创业管理、五邑侨乡创新创业文化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4.勇于奋斗、乐观向上，具有自我管理能力、职业生涯规划的意识，有较强的集体意识和团队合作精神</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大学生职业发展与就业指导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5.具有健康的体魄、心理和健全的人格，掌握基本运动知识和一两项运动技能，养成良好的健身与卫生习惯，良好的行为习惯</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军事技能、体育与健康、大学生心理健康教育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6.具有一定的审美和人文素养，能够形成一两项艺术特长或爱好</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艺术类选修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restart"/>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知</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识</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要</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求</w:t>
            </w: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1.掌握必备的思想政治理论、科学文化基础知识和中华优秀传统文化知识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公共基础课程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2.熟悉与本专业相关的法律法规等相关知识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经济法基础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3.掌握应用文写作、高职应用英语等职业基础知识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4.</w:t>
            </w:r>
            <w:r>
              <w:rPr>
                <w:rFonts w:hint="eastAsia" w:ascii="宋体" w:hAnsi="宋体" w:eastAsia="宋体" w:cs="宋体"/>
                <w:bCs/>
                <w:sz w:val="18"/>
                <w:szCs w:val="18"/>
              </w:rPr>
              <w:t>掌握会计流程运用、经济业务处理知识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基础会计、出纳实务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5.</w:t>
            </w:r>
            <w:r>
              <w:rPr>
                <w:rFonts w:hint="eastAsia" w:ascii="宋体" w:hAnsi="宋体" w:eastAsia="宋体" w:cs="宋体"/>
                <w:bCs/>
                <w:sz w:val="18"/>
                <w:szCs w:val="18"/>
              </w:rPr>
              <w:t>掌握各种成本计算</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成本核算与管理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color w:val="000000"/>
                <w:sz w:val="18"/>
                <w:szCs w:val="18"/>
              </w:rPr>
              <w:t>6.掌握</w:t>
            </w:r>
            <w:r>
              <w:rPr>
                <w:rFonts w:hint="eastAsia" w:ascii="宋体" w:hAnsi="宋体" w:eastAsia="宋体" w:cs="宋体"/>
                <w:bCs/>
                <w:sz w:val="18"/>
                <w:szCs w:val="18"/>
              </w:rPr>
              <w:t>纳税计算与申报</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纳税实务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7.</w:t>
            </w:r>
            <w:r>
              <w:rPr>
                <w:rFonts w:hint="eastAsia" w:ascii="宋体" w:hAnsi="宋体" w:eastAsia="宋体" w:cs="宋体"/>
                <w:bCs/>
                <w:sz w:val="18"/>
                <w:szCs w:val="18"/>
              </w:rPr>
              <w:t>电算化系统操作</w:t>
            </w:r>
            <w:r>
              <w:rPr>
                <w:rFonts w:hint="eastAsia" w:ascii="宋体" w:hAnsi="宋体" w:eastAsia="宋体" w:cs="宋体"/>
                <w:sz w:val="18"/>
                <w:szCs w:val="18"/>
              </w:rPr>
              <w:t>应用知识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业财一体信息化应用、ERP财务应用（财务链与供应链）、会计实训课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8.熟悉</w:t>
            </w:r>
            <w:r>
              <w:rPr>
                <w:rFonts w:hint="eastAsia" w:ascii="宋体" w:hAnsi="宋体" w:eastAsia="宋体" w:cs="宋体"/>
                <w:bCs/>
                <w:sz w:val="18"/>
                <w:szCs w:val="18"/>
              </w:rPr>
              <w:t>财务报表分析、审计</w:t>
            </w:r>
            <w:r>
              <w:rPr>
                <w:rFonts w:hint="eastAsia" w:ascii="宋体" w:hAnsi="宋体" w:eastAsia="宋体" w:cs="宋体"/>
                <w:sz w:val="18"/>
                <w:szCs w:val="18"/>
              </w:rPr>
              <w:t>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大数据财务分析、审计实务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9.</w:t>
            </w:r>
            <w:r>
              <w:rPr>
                <w:rFonts w:hint="eastAsia" w:ascii="宋体" w:hAnsi="宋体" w:eastAsia="宋体" w:cs="宋体"/>
                <w:bCs/>
                <w:sz w:val="18"/>
                <w:szCs w:val="18"/>
              </w:rPr>
              <w:t>掌握现代企业管理原理、经济法、统计原理等相关知识</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管理学原理、经济法基础、经济数学等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restart"/>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能</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力</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要</w:t>
            </w:r>
          </w:p>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求</w:t>
            </w: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1.具有探究学习、终身学习、分析和解决问题的能力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公共基础课程、专业（技能）课程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2.具有良好的语言、文字表达能力和沟通能力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大学语文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bCs/>
                <w:sz w:val="18"/>
                <w:szCs w:val="18"/>
              </w:rPr>
              <w:t>3.计算机操作能力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计算机应用基础、会计实训课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3.</w:t>
            </w:r>
            <w:r>
              <w:rPr>
                <w:rFonts w:hint="eastAsia" w:ascii="宋体" w:hAnsi="宋体" w:eastAsia="宋体" w:cs="宋体"/>
                <w:bCs/>
                <w:sz w:val="18"/>
                <w:szCs w:val="18"/>
              </w:rPr>
              <w:t>会计核算能力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基础会计、财务会计、成本会计等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4.</w:t>
            </w:r>
            <w:r>
              <w:rPr>
                <w:rFonts w:hint="eastAsia" w:ascii="宋体" w:hAnsi="宋体" w:eastAsia="宋体" w:cs="宋体"/>
                <w:bCs/>
                <w:sz w:val="18"/>
                <w:szCs w:val="18"/>
              </w:rPr>
              <w:t>财务分析和管理能力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财务管理、管理学原理等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9" w:type="dxa"/>
            <w:vMerge w:val="continue"/>
            <w:vAlign w:val="center"/>
          </w:tcPr>
          <w:p>
            <w:pPr>
              <w:adjustRightInd w:val="0"/>
              <w:snapToGrid w:val="0"/>
              <w:spacing w:line="260" w:lineRule="exact"/>
              <w:jc w:val="center"/>
              <w:rPr>
                <w:rFonts w:ascii="宋体" w:hAnsi="宋体" w:eastAsia="宋体" w:cs="宋体"/>
                <w:sz w:val="18"/>
                <w:szCs w:val="18"/>
              </w:rPr>
            </w:pPr>
          </w:p>
        </w:tc>
        <w:tc>
          <w:tcPr>
            <w:tcW w:w="4607"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color w:val="000000"/>
                <w:sz w:val="18"/>
                <w:szCs w:val="18"/>
              </w:rPr>
              <w:t>5.</w:t>
            </w:r>
            <w:r>
              <w:rPr>
                <w:rFonts w:hint="eastAsia" w:ascii="宋体" w:hAnsi="宋体" w:eastAsia="宋体" w:cs="宋体"/>
                <w:bCs/>
                <w:sz w:val="18"/>
                <w:szCs w:val="18"/>
              </w:rPr>
              <w:t>业务审计能力</w:t>
            </w:r>
          </w:p>
        </w:tc>
        <w:tc>
          <w:tcPr>
            <w:tcW w:w="3835" w:type="dxa"/>
            <w:vAlign w:val="center"/>
          </w:tcPr>
          <w:p>
            <w:pPr>
              <w:adjustRightInd w:val="0"/>
              <w:snapToGrid w:val="0"/>
              <w:spacing w:line="260" w:lineRule="exact"/>
              <w:jc w:val="left"/>
              <w:rPr>
                <w:rFonts w:ascii="宋体" w:hAnsi="宋体" w:eastAsia="宋体" w:cs="宋体"/>
                <w:sz w:val="18"/>
                <w:szCs w:val="18"/>
              </w:rPr>
            </w:pPr>
            <w:r>
              <w:rPr>
                <w:rFonts w:hint="eastAsia" w:ascii="宋体" w:hAnsi="宋体" w:eastAsia="宋体" w:cs="宋体"/>
                <w:sz w:val="18"/>
                <w:szCs w:val="18"/>
              </w:rPr>
              <w:t>审计实务</w:t>
            </w:r>
          </w:p>
        </w:tc>
      </w:tr>
    </w:tbl>
    <w:p>
      <w:pPr>
        <w:pStyle w:val="2"/>
        <w:spacing w:before="0" w:after="0" w:line="312" w:lineRule="auto"/>
        <w:ind w:firstLine="560" w:firstLineChars="200"/>
        <w:rPr>
          <w:rFonts w:ascii="黑体" w:hAnsi="黑体" w:eastAsia="黑体" w:cs="黑体"/>
          <w:b w:val="0"/>
          <w:bCs w:val="0"/>
          <w:sz w:val="28"/>
          <w:szCs w:val="28"/>
        </w:rPr>
      </w:pPr>
      <w:bookmarkStart w:id="6" w:name="_Toc4507"/>
      <w:r>
        <w:rPr>
          <w:rFonts w:hint="eastAsia" w:ascii="黑体" w:hAnsi="黑体" w:eastAsia="黑体" w:cs="黑体"/>
          <w:b w:val="0"/>
          <w:bCs w:val="0"/>
          <w:sz w:val="28"/>
          <w:szCs w:val="28"/>
        </w:rPr>
        <w:t>六、课程设置</w:t>
      </w:r>
      <w:bookmarkEnd w:id="6"/>
    </w:p>
    <w:p>
      <w:pPr>
        <w:adjustRightInd w:val="0"/>
        <w:snapToGrid w:val="0"/>
        <w:spacing w:line="312" w:lineRule="auto"/>
        <w:ind w:firstLine="480" w:firstLineChars="200"/>
        <w:jc w:val="left"/>
        <w:rPr>
          <w:rFonts w:ascii="宋体" w:hAnsi="宋体" w:eastAsia="宋体" w:cs="宋体"/>
          <w:color w:val="1A1A1A" w:themeColor="background1" w:themeShade="1A"/>
          <w:sz w:val="24"/>
          <w:szCs w:val="24"/>
        </w:rPr>
      </w:pPr>
      <w:r>
        <w:rPr>
          <w:rFonts w:hint="eastAsia" w:ascii="宋体" w:hAnsi="宋体" w:eastAsia="宋体" w:cs="宋体"/>
          <w:color w:val="1A1A1A" w:themeColor="background1" w:themeShade="1A"/>
          <w:sz w:val="24"/>
          <w:szCs w:val="24"/>
        </w:rPr>
        <w:t>（一）课程结构</w:t>
      </w:r>
    </w:p>
    <w:p>
      <w:pPr>
        <w:autoSpaceDE w:val="0"/>
        <w:autoSpaceDN w:val="0"/>
        <w:adjustRightInd w:val="0"/>
        <w:snapToGrid w:val="0"/>
        <w:spacing w:line="312" w:lineRule="auto"/>
        <w:ind w:firstLine="404" w:firstLineChars="200"/>
        <w:jc w:val="left"/>
        <w:rPr>
          <w:rFonts w:ascii="宋体" w:hAnsi="宋体" w:eastAsia="宋体" w:cs="宋体"/>
          <w:color w:val="000000"/>
          <w:spacing w:val="-4"/>
          <w:szCs w:val="21"/>
          <w:lang w:bidi="zh-CN"/>
        </w:rPr>
      </w:pPr>
      <w:r>
        <w:rPr>
          <w:rFonts w:hint="eastAsia" w:ascii="宋体" w:hAnsi="宋体" w:eastAsia="宋体" w:cs="宋体"/>
          <w:color w:val="000000"/>
          <w:spacing w:val="-4"/>
          <w:szCs w:val="21"/>
          <w:lang w:val="zh-CN" w:bidi="zh-CN"/>
        </w:rPr>
        <w:t>主要包括公共基础课程和专业（技能）课程。公共基础课程分为</w:t>
      </w:r>
      <w:r>
        <w:rPr>
          <w:rFonts w:hint="eastAsia" w:ascii="宋体" w:hAnsi="宋体" w:eastAsia="宋体" w:cs="宋体"/>
          <w:color w:val="000000"/>
          <w:spacing w:val="-4"/>
          <w:szCs w:val="21"/>
          <w:lang w:bidi="zh-CN"/>
        </w:rPr>
        <w:t>公共基础课程由包括：《</w:t>
      </w:r>
      <w:r>
        <w:rPr>
          <w:rFonts w:hint="eastAsia" w:ascii="宋体" w:hAnsi="宋体" w:eastAsia="宋体" w:cs="宋体"/>
          <w:color w:val="000000"/>
          <w:spacing w:val="-4"/>
          <w:szCs w:val="21"/>
          <w:lang w:val="zh-CN" w:bidi="zh-CN"/>
        </w:rPr>
        <w:t>毛泽东思想和中国特色社会主义理论体系概</w:t>
      </w:r>
      <w:r>
        <w:rPr>
          <w:rFonts w:hint="eastAsia" w:ascii="宋体" w:hAnsi="宋体" w:eastAsia="宋体" w:cs="宋体"/>
          <w:color w:val="000000"/>
          <w:spacing w:val="-4"/>
          <w:szCs w:val="21"/>
          <w:lang w:bidi="zh-CN"/>
        </w:rPr>
        <w:t>论》、《思想道德修养与法律基础》、《形势与政策》、《军事理论》、《大学语文》、《大学英语》、《计算机应用基础》等17门课程。</w:t>
      </w:r>
    </w:p>
    <w:p>
      <w:pPr>
        <w:pStyle w:val="6"/>
        <w:autoSpaceDE w:val="0"/>
        <w:autoSpaceDN w:val="0"/>
        <w:adjustRightInd w:val="0"/>
        <w:snapToGrid w:val="0"/>
        <w:spacing w:line="312" w:lineRule="auto"/>
        <w:ind w:firstLine="404" w:firstLineChars="200"/>
        <w:rPr>
          <w:color w:val="000000"/>
          <w:spacing w:val="-4"/>
        </w:rPr>
      </w:pPr>
      <w:r>
        <w:rPr>
          <w:rFonts w:hint="eastAsia"/>
          <w:color w:val="000000"/>
          <w:spacing w:val="-4"/>
        </w:rPr>
        <w:t>专业（技能）课程分为专业基础课、专业核心课、专业拓展课和专业实践课共</w:t>
      </w:r>
      <w:r>
        <w:rPr>
          <w:rFonts w:hint="eastAsia"/>
          <w:color w:val="000000"/>
          <w:spacing w:val="-4"/>
          <w:lang w:val="en-US"/>
        </w:rPr>
        <w:t>29门课程</w:t>
      </w:r>
      <w:r>
        <w:rPr>
          <w:rFonts w:hint="eastAsia"/>
          <w:color w:val="000000"/>
          <w:spacing w:val="-4"/>
        </w:rPr>
        <w:t>。</w:t>
      </w:r>
    </w:p>
    <w:p>
      <w:pPr>
        <w:pStyle w:val="6"/>
        <w:autoSpaceDE w:val="0"/>
        <w:autoSpaceDN w:val="0"/>
        <w:adjustRightInd w:val="0"/>
        <w:snapToGrid w:val="0"/>
        <w:spacing w:line="312" w:lineRule="auto"/>
        <w:ind w:firstLine="480" w:firstLineChars="200"/>
        <w:rPr>
          <w:color w:val="1A1A1A" w:themeColor="background1" w:themeShade="1A"/>
          <w:sz w:val="24"/>
          <w:szCs w:val="24"/>
          <w:lang w:val="en-US" w:bidi="ar-SA"/>
        </w:rPr>
      </w:pPr>
      <w:r>
        <w:rPr>
          <w:rFonts w:hint="eastAsia"/>
          <w:color w:val="1A1A1A" w:themeColor="background1" w:themeShade="1A"/>
          <w:sz w:val="24"/>
          <w:szCs w:val="24"/>
          <w:lang w:val="en-US" w:bidi="ar-SA"/>
        </w:rPr>
        <w:t>（二）公共基础课程概述</w:t>
      </w:r>
    </w:p>
    <w:p>
      <w:pPr>
        <w:pStyle w:val="6"/>
        <w:autoSpaceDE w:val="0"/>
        <w:autoSpaceDN w:val="0"/>
        <w:adjustRightInd w:val="0"/>
        <w:snapToGrid w:val="0"/>
        <w:spacing w:line="312" w:lineRule="auto"/>
        <w:jc w:val="center"/>
        <w:rPr>
          <w:color w:val="000000"/>
        </w:rPr>
      </w:pPr>
      <w:r>
        <w:rPr>
          <w:rFonts w:hint="eastAsia"/>
          <w:color w:val="000000"/>
        </w:rPr>
        <w:t>表</w:t>
      </w:r>
      <w:r>
        <w:rPr>
          <w:rFonts w:hint="eastAsia"/>
          <w:color w:val="000000"/>
          <w:lang w:val="en-US"/>
        </w:rPr>
        <w:t xml:space="preserve">6-1  </w:t>
      </w:r>
      <w:r>
        <w:rPr>
          <w:rFonts w:hint="eastAsia"/>
          <w:color w:val="000000"/>
        </w:rPr>
        <w:t>公共基础课程目标与主要教学内容</w:t>
      </w:r>
    </w:p>
    <w:tbl>
      <w:tblPr>
        <w:tblStyle w:val="16"/>
        <w:tblW w:w="94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8"/>
        <w:gridCol w:w="1018"/>
        <w:gridCol w:w="4116"/>
        <w:gridCol w:w="3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序号</w:t>
            </w:r>
          </w:p>
        </w:tc>
        <w:tc>
          <w:tcPr>
            <w:tcW w:w="1018"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课程名称</w:t>
            </w:r>
          </w:p>
        </w:tc>
        <w:tc>
          <w:tcPr>
            <w:tcW w:w="4116"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课程目标</w:t>
            </w:r>
          </w:p>
        </w:tc>
        <w:tc>
          <w:tcPr>
            <w:tcW w:w="3656"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主要内容和教学要求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1</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思想道德与法治</w:t>
            </w:r>
          </w:p>
        </w:tc>
        <w:tc>
          <w:tcPr>
            <w:tcW w:w="4116" w:type="dxa"/>
            <w:vAlign w:val="center"/>
          </w:tcPr>
          <w:p>
            <w:pPr>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通过理想信念、人生价值观、道德观和法治观的教育，将大学生培养成为社会主义合格建设者和可靠接班人。</w:t>
            </w:r>
          </w:p>
        </w:tc>
        <w:tc>
          <w:tcPr>
            <w:tcW w:w="3656" w:type="dxa"/>
            <w:vAlign w:val="center"/>
          </w:tcPr>
          <w:p>
            <w:pPr>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本课程以马克思主义为指导，以社会主义核心价值观为主线，以理想信念教育为核心，以中国精神教育为重点，以思想道德教育为基础，帮助大学生提高思想道德素质、职业素质和法律素质，落实立德树人根本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2</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毛泽东思想和中国特色社会主义理论体系概论</w:t>
            </w:r>
          </w:p>
        </w:tc>
        <w:tc>
          <w:tcPr>
            <w:tcW w:w="411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使学生系统掌握毛泽东思想和中国特色社会主义理论体系，坚定在党领导下走中国特色社会主义道路的理想信念。</w:t>
            </w:r>
          </w:p>
        </w:tc>
        <w:tc>
          <w:tcPr>
            <w:tcW w:w="365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第一部分阐述毛泽东思想；第二部分阐述中国特色社会主义理论体系的重要内容：邓小平理论、“三个代表”重要思想、科学发展观；第三部分阐述中国特色社会主义理论体系最新成果——习近平新时代中国特色社会主义思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val="zh-CN" w:bidi="zh-CN"/>
              </w:rPr>
              <w:t>3</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形势与政策</w:t>
            </w:r>
          </w:p>
        </w:tc>
        <w:tc>
          <w:tcPr>
            <w:tcW w:w="411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正确认识国内国际形势、了解党和国家的政策，培养学生辨别是非的能力，坚定正确的政治方向。</w:t>
            </w:r>
          </w:p>
        </w:tc>
        <w:tc>
          <w:tcPr>
            <w:tcW w:w="365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的内容包含形势与政策两部分，形势是国际和国内社会政治和经济发展的状况和态势，政策是党和国家为实现一定时期的目标和任务而制定的行为准则。具体根据教育部每学期初下发的“形势与政策教学要点”来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4</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bidi="zh-CN"/>
                <w14:textFill>
                  <w14:solidFill>
                    <w14:schemeClr w14:val="tx1"/>
                  </w14:solidFill>
                </w14:textFill>
              </w:rPr>
              <w:t>军事理论</w:t>
            </w:r>
          </w:p>
        </w:tc>
        <w:tc>
          <w:tcPr>
            <w:tcW w:w="411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了解掌握军事基础知识，增强国防观念和国家安全意识，弘扬爱国主义精神，提高学生综合国防素质。</w:t>
            </w:r>
          </w:p>
        </w:tc>
        <w:tc>
          <w:tcPr>
            <w:tcW w:w="365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国防概述、国防法规、国防建设、武装力量、国防动员，国家安全形势、国际战略形势，外国军事思想、中国古代军事思想、当代中国军事思想，新军事革命、机械化战争、信息化战争，信息化作战平台、综合电子信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5"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5</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体育与健康</w:t>
            </w:r>
          </w:p>
        </w:tc>
        <w:tc>
          <w:tcPr>
            <w:tcW w:w="4116" w:type="dxa"/>
            <w:vAlign w:val="center"/>
          </w:tcPr>
          <w:p>
            <w:pPr>
              <w:adjustRightInd w:val="0"/>
              <w:snapToGrid w:val="0"/>
              <w:spacing w:line="260" w:lineRule="exact"/>
              <w:rPr>
                <w:rFonts w:ascii="宋体" w:hAnsi="宋体" w:eastAsia="宋体" w:cs="宋体"/>
                <w:color w:val="000000" w:themeColor="text1"/>
                <w:kern w:val="0"/>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以身体练习为主要手段，通过合理的体育教育和科学的体育锻炼过程，达到增强体质、增进健康和提高体育素养。</w:t>
            </w:r>
          </w:p>
        </w:tc>
        <w:tc>
          <w:tcPr>
            <w:tcW w:w="3656" w:type="dxa"/>
            <w:vAlign w:val="center"/>
          </w:tcPr>
          <w:p>
            <w:pPr>
              <w:adjustRightInd w:val="0"/>
              <w:snapToGrid w:val="0"/>
              <w:spacing w:line="260" w:lineRule="exact"/>
              <w:rPr>
                <w:rFonts w:ascii="宋体" w:hAnsi="宋体" w:eastAsia="宋体" w:cs="宋体"/>
                <w:color w:val="000000" w:themeColor="text1"/>
                <w:kern w:val="0"/>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模块（1）：理论教学有科学健身合理营养、运动安全急救与保健养生、职业性体育、体质健康运动能力测评等；实践教学有篮排足基本技术、中长跑技术、身体素质练习等。模块（2）：蔡李佛拳。模块（3）：体测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6</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sz w:val="18"/>
                <w:szCs w:val="18"/>
                <w:lang w:val="zh-CN" w:bidi="zh-CN"/>
                <w14:textFill>
                  <w14:solidFill>
                    <w14:schemeClr w14:val="tx1"/>
                  </w14:solidFill>
                </w14:textFill>
              </w:rPr>
            </w:pPr>
            <w:r>
              <w:rPr>
                <w:rFonts w:hint="eastAsia" w:ascii="宋体" w:hAnsi="宋体" w:eastAsia="宋体" w:cs="宋体"/>
                <w:color w:val="000000" w:themeColor="text1"/>
                <w:spacing w:val="-1"/>
                <w:sz w:val="18"/>
                <w:szCs w:val="18"/>
                <w:lang w:val="zh-CN" w:bidi="zh-CN"/>
                <w14:textFill>
                  <w14:solidFill>
                    <w14:schemeClr w14:val="tx1"/>
                  </w14:solidFill>
                </w14:textFill>
              </w:rPr>
              <w:t>大学生心理健康教育</w:t>
            </w:r>
          </w:p>
        </w:tc>
        <w:tc>
          <w:tcPr>
            <w:tcW w:w="411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帮助学生学习了解心理健康知识，正确认识分析评价自己的身心健康和发展状况，学会调节完善自己的个性心理。</w:t>
            </w:r>
          </w:p>
        </w:tc>
        <w:tc>
          <w:tcPr>
            <w:tcW w:w="365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包括心理健康概述、入学适应、学习心理调适、自我概念发展与完善、和谐人际心理辅导、恋爱与性心理、健康人格塑造、情绪管理与压力应对、危机识别与干预、职业心理调适等，帮助大学生学习掌握心理健康调节的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3"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7</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大学生职业发展与创新创业教育</w:t>
            </w:r>
          </w:p>
        </w:tc>
        <w:tc>
          <w:tcPr>
            <w:tcW w:w="4116" w:type="dxa"/>
            <w:vAlign w:val="center"/>
          </w:tcPr>
          <w:p>
            <w:pPr>
              <w:autoSpaceDE w:val="0"/>
              <w:autoSpaceDN w:val="0"/>
              <w:adjustRightInd w:val="0"/>
              <w:snapToGrid w:val="0"/>
              <w:spacing w:line="260" w:lineRule="exact"/>
              <w:rPr>
                <w:rFonts w:ascii="宋体" w:hAnsi="宋体" w:eastAsia="宋体" w:cs="宋体"/>
                <w:color w:val="000000" w:themeColor="text1"/>
                <w:spacing w:val="-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激发学生生涯发展的自主意识，树立正确的就业观，促使大学生理性地规划，自觉提高就业能力和生涯管理能力。</w:t>
            </w:r>
          </w:p>
        </w:tc>
        <w:tc>
          <w:tcPr>
            <w:tcW w:w="3656" w:type="dxa"/>
            <w:vAlign w:val="center"/>
          </w:tcPr>
          <w:p>
            <w:pPr>
              <w:autoSpaceDE w:val="0"/>
              <w:autoSpaceDN w:val="0"/>
              <w:adjustRightInd w:val="0"/>
              <w:snapToGrid w:val="0"/>
              <w:spacing w:line="260" w:lineRule="exact"/>
              <w:rPr>
                <w:rFonts w:ascii="宋体" w:hAnsi="宋体" w:eastAsia="宋体" w:cs="宋体"/>
                <w:color w:val="000000" w:themeColor="text1"/>
                <w:spacing w:val="-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通过学习，学生应当掌握自我探索、职业规划和求职择业方法，了解就业形势与政策法规、求职面试及礼仪；具备职业发展关键能力，培养学生的学业和职业规划意识、职业发展意识，形成良好的职业素养、正确的求职就业观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jc w:val="center"/>
        </w:trPr>
        <w:tc>
          <w:tcPr>
            <w:tcW w:w="658" w:type="dxa"/>
            <w:vAlign w:val="center"/>
          </w:tcPr>
          <w:p>
            <w:pPr>
              <w:autoSpaceDE w:val="0"/>
              <w:autoSpaceDN w:val="0"/>
              <w:adjustRightInd w:val="0"/>
              <w:snapToGrid w:val="0"/>
              <w:jc w:val="center"/>
              <w:rPr>
                <w:rFonts w:ascii="宋体" w:hAnsi="宋体" w:eastAsia="宋体" w:cs="宋体"/>
                <w:color w:val="000000"/>
                <w:spacing w:val="-1"/>
                <w:sz w:val="18"/>
                <w:szCs w:val="18"/>
                <w:lang w:val="zh-CN" w:bidi="zh-CN"/>
              </w:rPr>
            </w:pPr>
            <w:r>
              <w:rPr>
                <w:rFonts w:hint="eastAsia" w:ascii="宋体" w:hAnsi="宋体" w:eastAsia="宋体" w:cs="宋体"/>
                <w:color w:val="000000"/>
                <w:spacing w:val="-1"/>
                <w:sz w:val="18"/>
                <w:szCs w:val="18"/>
                <w:lang w:bidi="zh-CN"/>
              </w:rPr>
              <w:t>8</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sz w:val="18"/>
                <w:szCs w:val="18"/>
                <w:lang w:val="zh-CN" w:bidi="zh-CN"/>
                <w14:textFill>
                  <w14:solidFill>
                    <w14:schemeClr w14:val="tx1"/>
                  </w14:solidFill>
                </w14:textFill>
              </w:rPr>
            </w:pPr>
            <w:r>
              <w:rPr>
                <w:rFonts w:hint="eastAsia" w:ascii="宋体" w:hAnsi="宋体" w:eastAsia="宋体" w:cs="宋体"/>
                <w:color w:val="000000" w:themeColor="text1"/>
                <w:spacing w:val="-1"/>
                <w:sz w:val="18"/>
                <w:szCs w:val="18"/>
                <w:lang w:val="zh-CN" w:bidi="zh-CN"/>
                <w14:textFill>
                  <w14:solidFill>
                    <w14:schemeClr w14:val="tx1"/>
                  </w14:solidFill>
                </w14:textFill>
              </w:rPr>
              <w:t>禁毒与预防艾滋病专题</w:t>
            </w:r>
          </w:p>
        </w:tc>
        <w:tc>
          <w:tcPr>
            <w:tcW w:w="4116" w:type="dxa"/>
            <w:vAlign w:val="center"/>
          </w:tcPr>
          <w:p>
            <w:pPr>
              <w:autoSpaceDE w:val="0"/>
              <w:autoSpaceDN w:val="0"/>
              <w:adjustRightInd w:val="0"/>
              <w:snapToGrid w:val="0"/>
              <w:jc w:val="lef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通过学习课程使学生加深对禁毒与艾滋病的了解，知道毒品的由来和危害，艾滋病的知识及其传播途径，如何预防艾滋病，更重要的是认识到了生命的宝贵，要珍爱生命。</w:t>
            </w:r>
          </w:p>
        </w:tc>
        <w:tc>
          <w:tcPr>
            <w:tcW w:w="3656" w:type="dxa"/>
            <w:vAlign w:val="center"/>
          </w:tcPr>
          <w:p>
            <w:pPr>
              <w:autoSpaceDE w:val="0"/>
              <w:autoSpaceDN w:val="0"/>
              <w:adjustRightInd w:val="0"/>
              <w:snapToGrid w:val="0"/>
              <w:jc w:val="left"/>
              <w:rPr>
                <w:rFonts w:ascii="宋体" w:hAnsi="宋体" w:eastAsia="宋体" w:cs="宋体"/>
                <w:color w:val="000000" w:themeColor="text1"/>
                <w:sz w:val="18"/>
                <w:szCs w:val="18"/>
                <w:lang w:bidi="zh-CN"/>
                <w14:textFill>
                  <w14:solidFill>
                    <w14:schemeClr w14:val="tx1"/>
                  </w14:solidFill>
                </w14:textFill>
              </w:rPr>
            </w:pPr>
            <w:r>
              <w:rPr>
                <w:rFonts w:hint="eastAsia" w:ascii="宋体" w:hAnsi="宋体" w:eastAsia="宋体" w:cs="宋体"/>
                <w:color w:val="000000" w:themeColor="text1"/>
                <w:sz w:val="18"/>
                <w:szCs w:val="18"/>
                <w:lang w:bidi="zh-CN"/>
                <w14:textFill>
                  <w14:solidFill>
                    <w14:schemeClr w14:val="tx1"/>
                  </w14:solidFill>
                </w14:textFill>
              </w:rPr>
              <w:t>了解禁毒常识，毒品种类、毒品危害、艾滋病成因、危害等。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val="zh-CN" w:bidi="zh-CN"/>
              </w:rPr>
            </w:pPr>
            <w:r>
              <w:rPr>
                <w:rFonts w:hint="eastAsia" w:ascii="宋体" w:hAnsi="宋体" w:eastAsia="宋体" w:cs="宋体"/>
                <w:color w:val="000000"/>
                <w:sz w:val="18"/>
                <w:szCs w:val="18"/>
                <w:lang w:bidi="zh-CN"/>
              </w:rPr>
              <w:t>9</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大学英语</w:t>
            </w:r>
          </w:p>
        </w:tc>
        <w:tc>
          <w:tcPr>
            <w:tcW w:w="411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掌握英语的基本词汇、句型和语法；具备跨文化交际、自主学习和创新能力；具备团队合作精神和良好的职业素养。</w:t>
            </w:r>
          </w:p>
        </w:tc>
        <w:tc>
          <w:tcPr>
            <w:tcW w:w="3656" w:type="dxa"/>
            <w:vAlign w:val="center"/>
          </w:tcPr>
          <w:p>
            <w:pPr>
              <w:autoSpaceDE w:val="0"/>
              <w:autoSpaceDN w:val="0"/>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内容涵盖职场人士在公司、企业、事业单位所能接触到的职场情景和工作环节。每个单元由走进职场、职场交际、课文阅读、团队活动、应用写作等六部分组成，全面培养英语听说读写译等技能。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10</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大学语文</w:t>
            </w:r>
          </w:p>
        </w:tc>
        <w:tc>
          <w:tcPr>
            <w:tcW w:w="4116" w:type="dxa"/>
            <w:vAlign w:val="center"/>
          </w:tcPr>
          <w:p>
            <w:pPr>
              <w:autoSpaceDE w:val="0"/>
              <w:autoSpaceDN w:val="0"/>
              <w:adjustRightInd w:val="0"/>
              <w:snapToGrid w:val="0"/>
              <w:jc w:val="lef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培养学生阅读和理解文学作品的能力， 提高学生文学鉴赏水平和文化修养，提升写作能力，以适应学习和工作的需要。</w:t>
            </w:r>
          </w:p>
        </w:tc>
        <w:tc>
          <w:tcPr>
            <w:tcW w:w="3656" w:type="dxa"/>
            <w:vAlign w:val="center"/>
          </w:tcPr>
          <w:p>
            <w:pPr>
              <w:autoSpaceDE w:val="0"/>
              <w:autoSpaceDN w:val="0"/>
              <w:adjustRightInd w:val="0"/>
              <w:snapToGrid w:val="0"/>
              <w:jc w:val="lef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散文阅读与欣赏；诗歌阅读与欣赏；小说阅读与欣赏；影视与戏剧欣赏；语言表达能力与技巧；实用写作训练。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11</w:t>
            </w:r>
          </w:p>
        </w:tc>
        <w:tc>
          <w:tcPr>
            <w:tcW w:w="1018" w:type="dxa"/>
            <w:vAlign w:val="center"/>
          </w:tcPr>
          <w:p>
            <w:pPr>
              <w:autoSpaceDE w:val="0"/>
              <w:autoSpaceDN w:val="0"/>
              <w:adjustRightInd w:val="0"/>
              <w:snapToGrid w:val="0"/>
              <w:jc w:val="center"/>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lang w:val="zh-CN" w:bidi="zh-CN"/>
                <w14:textFill>
                  <w14:solidFill>
                    <w14:schemeClr w14:val="tx1"/>
                  </w14:solidFill>
                </w14:textFill>
              </w:rPr>
              <w:t>计算机应用基础</w:t>
            </w:r>
          </w:p>
        </w:tc>
        <w:tc>
          <w:tcPr>
            <w:tcW w:w="4116" w:type="dxa"/>
            <w:vAlign w:val="center"/>
          </w:tcPr>
          <w:p>
            <w:pPr>
              <w:adjustRightInd w:val="0"/>
              <w:snapToGrid w:val="0"/>
              <w:spacing w:line="260" w:lineRule="exact"/>
              <w:rPr>
                <w:rFonts w:ascii="宋体" w:hAnsi="宋体" w:eastAsia="宋体" w:cs="宋体"/>
                <w:color w:val="000000" w:themeColor="text1"/>
                <w:kern w:val="0"/>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掌握计算机基础知识和技能，提高使用计算机处理日常事务的效率和质量</w:t>
            </w:r>
          </w:p>
        </w:tc>
        <w:tc>
          <w:tcPr>
            <w:tcW w:w="3656" w:type="dxa"/>
            <w:vAlign w:val="center"/>
          </w:tcPr>
          <w:p>
            <w:pPr>
              <w:adjustRightInd w:val="0"/>
              <w:snapToGrid w:val="0"/>
              <w:spacing w:line="260" w:lineRule="exact"/>
              <w:rPr>
                <w:rFonts w:ascii="宋体" w:hAnsi="宋体" w:eastAsia="宋体" w:cs="宋体"/>
                <w:color w:val="000000" w:themeColor="text1"/>
                <w:sz w:val="18"/>
                <w:szCs w:val="18"/>
                <w:lang w:val="zh-CN"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计算机发展历史、计算机系统、操作系统、计算机网络、Word 2010文字处理、Excel2010数据处理、PowerPoint2010演示文档制作。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12</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民族教育专题</w:t>
            </w:r>
          </w:p>
        </w:tc>
        <w:tc>
          <w:tcPr>
            <w:tcW w:w="4116" w:type="dxa"/>
            <w:vAlign w:val="center"/>
          </w:tcPr>
          <w:p>
            <w:pPr>
              <w:autoSpaceDE w:val="0"/>
              <w:autoSpaceDN w:val="0"/>
              <w:adjustRightInd w:val="0"/>
              <w:snapToGrid w:val="0"/>
              <w:jc w:val="lef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掌握和践行民族团结。</w:t>
            </w:r>
          </w:p>
        </w:tc>
        <w:tc>
          <w:tcPr>
            <w:tcW w:w="3656" w:type="dxa"/>
            <w:vAlign w:val="center"/>
          </w:tcPr>
          <w:p>
            <w:pPr>
              <w:autoSpaceDE w:val="0"/>
              <w:autoSpaceDN w:val="0"/>
              <w:adjustRightInd w:val="0"/>
              <w:snapToGrid w:val="0"/>
              <w:jc w:val="lef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了解我国的民族国情、我国的民族关系我国的民族政策维护民族团结方法。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13</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kern w:val="0"/>
                <w:sz w:val="18"/>
                <w:szCs w:val="18"/>
                <w:lang w:val="zh-CN"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中华优秀传统文化</w:t>
            </w:r>
          </w:p>
        </w:tc>
        <w:tc>
          <w:tcPr>
            <w:tcW w:w="4116" w:type="dxa"/>
            <w:vAlign w:val="center"/>
          </w:tcPr>
          <w:p>
            <w:pPr>
              <w:autoSpaceDE w:val="0"/>
              <w:autoSpaceDN w:val="0"/>
              <w:adjustRightInd w:val="0"/>
              <w:snapToGrid w:val="0"/>
              <w:jc w:val="left"/>
              <w:rPr>
                <w:rFonts w:ascii="宋体" w:hAnsi="宋体" w:eastAsia="宋体" w:cs="宋体"/>
                <w:color w:val="000000" w:themeColor="text1"/>
                <w:spacing w:val="-1"/>
                <w:kern w:val="0"/>
                <w:sz w:val="18"/>
                <w:szCs w:val="18"/>
                <w:lang w:val="zh-CN"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使学生了解和掌握中国传统文化精华所在，历史地和科学地分析中国传统文化的特点，以理性的态度和务实的精神去继承传统，认同本民族的文化，丰富大学生的精神世界，提升文化品位和审美情趣，全面提升学生人文素养，引导学生形成健康积极的人生观、价值观，增强对社会主义核心价值观的领悟和认同。</w:t>
            </w:r>
          </w:p>
        </w:tc>
        <w:tc>
          <w:tcPr>
            <w:tcW w:w="3656" w:type="dxa"/>
            <w:vAlign w:val="center"/>
          </w:tcPr>
          <w:p>
            <w:pPr>
              <w:autoSpaceDE w:val="0"/>
              <w:autoSpaceDN w:val="0"/>
              <w:adjustRightInd w:val="0"/>
              <w:snapToGrid w:val="0"/>
              <w:jc w:val="left"/>
              <w:rPr>
                <w:rFonts w:ascii="宋体" w:hAnsi="宋体" w:eastAsia="宋体" w:cs="宋体"/>
                <w:color w:val="000000" w:themeColor="text1"/>
                <w:spacing w:val="-1"/>
                <w:kern w:val="0"/>
                <w:sz w:val="18"/>
                <w:szCs w:val="18"/>
                <w:lang w:val="zh-CN"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课程突出学生的主体地位，采用多媒体教学手段和启发式教学，采用讨论、分析和总结的方法，采用理论与实际相结合的方法。对于建立在传统文献基础上的知识性内容采取以教师讲授为主的教学，对于文化核心的演变与延续性内容采取主题讨论、案例分析教学法，引导学生独立思考与探索。同时引导学生多看、多读传统文化著作，配合文化网站等现代化信息的输入，提高教学效率。考核：过程性评价 50%+终结性评价50%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14</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国家安全教育</w:t>
            </w:r>
          </w:p>
        </w:tc>
        <w:tc>
          <w:tcPr>
            <w:tcW w:w="4116" w:type="dxa"/>
            <w:vAlign w:val="center"/>
          </w:tcPr>
          <w:p>
            <w:pPr>
              <w:autoSpaceDE w:val="0"/>
              <w:autoSpaceDN w:val="0"/>
              <w:adjustRightInd w:val="0"/>
              <w:snapToGrid w:val="0"/>
              <w:jc w:val="lef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提高全民国家安全法治意识，营造维护国家安全的浓厚法治氛围，增强防范和抵御安全风险能力</w:t>
            </w:r>
          </w:p>
        </w:tc>
        <w:tc>
          <w:tcPr>
            <w:tcW w:w="3656" w:type="dxa"/>
            <w:vAlign w:val="center"/>
          </w:tcPr>
          <w:p>
            <w:pPr>
              <w:autoSpaceDE w:val="0"/>
              <w:autoSpaceDN w:val="0"/>
              <w:adjustRightInd w:val="0"/>
              <w:snapToGrid w:val="0"/>
              <w:jc w:val="lef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结合"防控疫情、法治同行"专项法治宣传行动，加大</w:t>
            </w:r>
            <w:r>
              <w:rPr>
                <w:rFonts w:hint="eastAsia" w:ascii="宋体" w:hAnsi="宋体" w:eastAsia="宋体" w:cs="宋体"/>
                <w:color w:val="000000" w:themeColor="text1"/>
                <w:sz w:val="18"/>
                <w:szCs w:val="18"/>
                <w14:textFill>
                  <w14:solidFill>
                    <w14:schemeClr w14:val="tx1"/>
                  </w14:solidFill>
                </w14:textFill>
              </w:rPr>
              <w:fldChar w:fldCharType="begin"/>
            </w:r>
            <w:r>
              <w:rPr>
                <w:rFonts w:hint="eastAsia" w:ascii="宋体" w:hAnsi="宋体" w:eastAsia="宋体" w:cs="宋体"/>
                <w:color w:val="000000" w:themeColor="text1"/>
                <w:sz w:val="18"/>
                <w:szCs w:val="18"/>
                <w14:textFill>
                  <w14:solidFill>
                    <w14:schemeClr w14:val="tx1"/>
                  </w14:solidFill>
                </w14:textFill>
              </w:rPr>
              <w:instrText xml:space="preserve"> HYPERLINK "https://baike.so.com/doc/6438037-6651717.html" \t "https://baike.so.com/doc/_blank" </w:instrText>
            </w:r>
            <w:r>
              <w:rPr>
                <w:rFonts w:hint="eastAsia" w:ascii="宋体" w:hAnsi="宋体" w:eastAsia="宋体" w:cs="宋体"/>
                <w:color w:val="000000" w:themeColor="text1"/>
                <w:sz w:val="18"/>
                <w:szCs w:val="18"/>
                <w14:textFill>
                  <w14:solidFill>
                    <w14:schemeClr w14:val="tx1"/>
                  </w14:solidFill>
                </w14:textFill>
              </w:rPr>
              <w:fldChar w:fldCharType="separate"/>
            </w:r>
            <w:r>
              <w:rPr>
                <w:rFonts w:hint="eastAsia" w:ascii="宋体" w:hAnsi="宋体" w:eastAsia="宋体" w:cs="宋体"/>
                <w:color w:val="000000" w:themeColor="text1"/>
                <w:spacing w:val="-1"/>
                <w:kern w:val="0"/>
                <w:sz w:val="18"/>
                <w:szCs w:val="18"/>
                <w:lang w:bidi="zh-CN"/>
                <w14:textFill>
                  <w14:solidFill>
                    <w14:schemeClr w14:val="tx1"/>
                  </w14:solidFill>
                </w14:textFill>
              </w:rPr>
              <w:t>公共卫生安全</w:t>
            </w:r>
            <w:r>
              <w:rPr>
                <w:rFonts w:hint="eastAsia" w:ascii="宋体" w:hAnsi="宋体" w:eastAsia="宋体" w:cs="宋体"/>
                <w:color w:val="000000" w:themeColor="text1"/>
                <w:spacing w:val="-1"/>
                <w:kern w:val="0"/>
                <w:sz w:val="18"/>
                <w:szCs w:val="18"/>
                <w:lang w:bidi="zh-CN"/>
                <w14:textFill>
                  <w14:solidFill>
                    <w14:schemeClr w14:val="tx1"/>
                  </w14:solidFill>
                </w14:textFill>
              </w:rPr>
              <w:fldChar w:fldCharType="end"/>
            </w:r>
            <w:r>
              <w:rPr>
                <w:rFonts w:hint="eastAsia" w:ascii="宋体" w:hAnsi="宋体" w:eastAsia="宋体" w:cs="宋体"/>
                <w:color w:val="000000" w:themeColor="text1"/>
                <w:spacing w:val="-1"/>
                <w:kern w:val="0"/>
                <w:sz w:val="18"/>
                <w:szCs w:val="18"/>
                <w:lang w:bidi="zh-CN"/>
                <w14:textFill>
                  <w14:solidFill>
                    <w14:schemeClr w14:val="tx1"/>
                  </w14:solidFill>
                </w14:textFill>
              </w:rPr>
              <w:t>、</w:t>
            </w:r>
            <w:r>
              <w:fldChar w:fldCharType="begin"/>
            </w:r>
            <w:r>
              <w:instrText xml:space="preserve"> HYPERLINK "https://baike.so.com/doc/5907554-6120458.html" \t "https://baike.so.com/doc/_blank" </w:instrText>
            </w:r>
            <w:r>
              <w:fldChar w:fldCharType="separate"/>
            </w:r>
            <w:r>
              <w:rPr>
                <w:rFonts w:hint="eastAsia" w:ascii="宋体" w:hAnsi="宋体" w:eastAsia="宋体" w:cs="宋体"/>
                <w:color w:val="000000" w:themeColor="text1"/>
                <w:spacing w:val="-1"/>
                <w:kern w:val="0"/>
                <w:sz w:val="18"/>
                <w:szCs w:val="18"/>
                <w:lang w:bidi="zh-CN"/>
                <w14:textFill>
                  <w14:solidFill>
                    <w14:schemeClr w14:val="tx1"/>
                  </w14:solidFill>
                </w14:textFill>
              </w:rPr>
              <w:t>生物安全</w:t>
            </w:r>
            <w:r>
              <w:rPr>
                <w:rFonts w:hint="eastAsia" w:ascii="宋体" w:hAnsi="宋体" w:eastAsia="宋体" w:cs="宋体"/>
                <w:color w:val="000000" w:themeColor="text1"/>
                <w:spacing w:val="-1"/>
                <w:kern w:val="0"/>
                <w:sz w:val="18"/>
                <w:szCs w:val="18"/>
                <w:lang w:bidi="zh-CN"/>
                <w14:textFill>
                  <w14:solidFill>
                    <w14:schemeClr w14:val="tx1"/>
                  </w14:solidFill>
                </w14:textFill>
              </w:rPr>
              <w:fldChar w:fldCharType="end"/>
            </w:r>
            <w:r>
              <w:rPr>
                <w:rFonts w:hint="eastAsia" w:ascii="宋体" w:hAnsi="宋体" w:eastAsia="宋体" w:cs="宋体"/>
                <w:color w:val="000000" w:themeColor="text1"/>
                <w:spacing w:val="-1"/>
                <w:kern w:val="0"/>
                <w:sz w:val="18"/>
                <w:szCs w:val="18"/>
                <w:lang w:bidi="zh-CN"/>
                <w14:textFill>
                  <w14:solidFill>
                    <w14:schemeClr w14:val="tx1"/>
                  </w14:solidFill>
                </w14:textFill>
              </w:rPr>
              <w:t>等法治宣传力度。创新宣传形式，坚持网上网下结合，不断提高国家安全法治宣传的影响力和传播力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1"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15</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劳动专题教育</w:t>
            </w:r>
          </w:p>
        </w:tc>
        <w:tc>
          <w:tcPr>
            <w:tcW w:w="4116" w:type="dxa"/>
            <w:vAlign w:val="center"/>
          </w:tcPr>
          <w:p>
            <w:pPr>
              <w:adjustRightInd w:val="0"/>
              <w:snapToGrid w:val="0"/>
              <w:spacing w:line="260" w:lineRule="exac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使</w:t>
            </w:r>
            <w:r>
              <w:fldChar w:fldCharType="begin"/>
            </w:r>
            <w:r>
              <w:instrText xml:space="preserve"> HYPERLINK "https://baike.so.com/doc/3664705-3851758.html" \t "https://baike.so.com/doc/_blank" </w:instrText>
            </w:r>
            <w:r>
              <w:fldChar w:fldCharType="separate"/>
            </w:r>
            <w:r>
              <w:rPr>
                <w:rFonts w:hint="eastAsia" w:ascii="宋体" w:hAnsi="宋体" w:eastAsia="宋体" w:cs="宋体"/>
                <w:color w:val="000000" w:themeColor="text1"/>
                <w:sz w:val="18"/>
                <w:szCs w:val="18"/>
                <w14:textFill>
                  <w14:solidFill>
                    <w14:schemeClr w14:val="tx1"/>
                  </w14:solidFill>
                </w14:textFill>
              </w:rPr>
              <w:t>学生</w:t>
            </w:r>
            <w:r>
              <w:rPr>
                <w:rFonts w:hint="eastAsia" w:ascii="宋体" w:hAnsi="宋体" w:eastAsia="宋体" w:cs="宋体"/>
                <w:color w:val="000000" w:themeColor="text1"/>
                <w:sz w:val="18"/>
                <w:szCs w:val="18"/>
                <w14:textFill>
                  <w14:solidFill>
                    <w14:schemeClr w14:val="tx1"/>
                  </w14:solidFill>
                </w14:textFill>
              </w:rPr>
              <w:fldChar w:fldCharType="end"/>
            </w:r>
            <w:r>
              <w:rPr>
                <w:rFonts w:hint="eastAsia" w:ascii="宋体" w:hAnsi="宋体" w:eastAsia="宋体" w:cs="宋体"/>
                <w:color w:val="000000" w:themeColor="text1"/>
                <w:sz w:val="18"/>
                <w:szCs w:val="18"/>
                <w14:textFill>
                  <w14:solidFill>
                    <w14:schemeClr w14:val="tx1"/>
                  </w14:solidFill>
                </w14:textFill>
              </w:rPr>
              <w:t>树立正确的劳动观点和劳动态度，具有必备的劳动能力，热爱劳动和劳动人民，培育学生积极的劳动精神，养成良好的劳动习惯和品质。</w:t>
            </w:r>
          </w:p>
        </w:tc>
        <w:tc>
          <w:tcPr>
            <w:tcW w:w="3656" w:type="dxa"/>
            <w:vAlign w:val="center"/>
          </w:tcPr>
          <w:p>
            <w:pPr>
              <w:adjustRightInd w:val="0"/>
              <w:snapToGrid w:val="0"/>
              <w:spacing w:line="260" w:lineRule="exac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本课程分别从理解劳动的意义、树立正确的劳动态度、锻炼劳动能力和尊重劳动成果4个部分引导学生如何思考劳动教育的价值与意义、以什么态度对待劳动、用什么样的方法进行劳动培育学生的劳动思想、劳动态度和劳动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1"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16</w:t>
            </w:r>
          </w:p>
        </w:tc>
        <w:tc>
          <w:tcPr>
            <w:tcW w:w="1018" w:type="dxa"/>
            <w:vAlign w:val="center"/>
          </w:tcPr>
          <w:p>
            <w:pPr>
              <w:autoSpaceDE w:val="0"/>
              <w:autoSpaceDN w:val="0"/>
              <w:adjustRightInd w:val="0"/>
              <w:snapToGrid w:val="0"/>
              <w:jc w:val="center"/>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pacing w:val="-1"/>
                <w:kern w:val="0"/>
                <w:sz w:val="18"/>
                <w:szCs w:val="18"/>
                <w:lang w:bidi="zh-CN"/>
                <w14:textFill>
                  <w14:solidFill>
                    <w14:schemeClr w14:val="tx1"/>
                  </w14:solidFill>
                </w14:textFill>
              </w:rPr>
              <w:t>军事技能</w:t>
            </w:r>
          </w:p>
        </w:tc>
        <w:tc>
          <w:tcPr>
            <w:tcW w:w="4116" w:type="dxa"/>
            <w:vAlign w:val="center"/>
          </w:tcPr>
          <w:p>
            <w:pPr>
              <w:adjustRightInd w:val="0"/>
              <w:snapToGrid w:val="0"/>
              <w:spacing w:line="260" w:lineRule="exac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全面贯彻党的教育方针、新时代军事战略方针和总体国家安全观，着眼培育和践行社会主义核心价值观，提升学生国防意识。</w:t>
            </w:r>
          </w:p>
        </w:tc>
        <w:tc>
          <w:tcPr>
            <w:tcW w:w="3656" w:type="dxa"/>
            <w:vAlign w:val="center"/>
          </w:tcPr>
          <w:p>
            <w:pPr>
              <w:adjustRightInd w:val="0"/>
              <w:snapToGrid w:val="0"/>
              <w:spacing w:line="260" w:lineRule="exact"/>
              <w:rPr>
                <w:rFonts w:ascii="宋体" w:hAnsi="宋体" w:eastAsia="宋体" w:cs="宋体"/>
                <w:color w:val="000000" w:themeColor="text1"/>
                <w:spacing w:val="-1"/>
                <w:kern w:val="0"/>
                <w:sz w:val="18"/>
                <w:szCs w:val="18"/>
                <w:lang w:bidi="zh-CN"/>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共同条令教育（内务、纪律、队列条令）、分队的队列动作、轻武器射击、战术演练、格斗基础、战场医疗救护、核生化防护、战备规定、紧急集合、行军拉练、内务整理、消防疏散演练、消防器材演练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jc w:val="center"/>
        </w:trPr>
        <w:tc>
          <w:tcPr>
            <w:tcW w:w="658" w:type="dxa"/>
            <w:vAlign w:val="center"/>
          </w:tcPr>
          <w:p>
            <w:pPr>
              <w:autoSpaceDE w:val="0"/>
              <w:autoSpaceDN w:val="0"/>
              <w:adjustRightInd w:val="0"/>
              <w:snapToGrid w:val="0"/>
              <w:jc w:val="center"/>
              <w:rPr>
                <w:rFonts w:ascii="宋体" w:hAnsi="宋体" w:eastAsia="宋体" w:cs="宋体"/>
                <w:color w:val="000000"/>
                <w:sz w:val="18"/>
                <w:szCs w:val="18"/>
                <w:lang w:bidi="zh-CN"/>
              </w:rPr>
            </w:pPr>
            <w:r>
              <w:rPr>
                <w:rFonts w:hint="eastAsia" w:ascii="宋体" w:hAnsi="宋体" w:eastAsia="宋体" w:cs="宋体"/>
                <w:color w:val="000000"/>
                <w:sz w:val="18"/>
                <w:szCs w:val="18"/>
                <w:lang w:bidi="zh-CN"/>
              </w:rPr>
              <w:t>17</w:t>
            </w:r>
          </w:p>
        </w:tc>
        <w:tc>
          <w:tcPr>
            <w:tcW w:w="1018" w:type="dxa"/>
            <w:vAlign w:val="center"/>
          </w:tcPr>
          <w:p>
            <w:pPr>
              <w:autoSpaceDE w:val="0"/>
              <w:autoSpaceDN w:val="0"/>
              <w:adjustRightInd w:val="0"/>
              <w:snapToGrid w:val="0"/>
              <w:jc w:val="center"/>
              <w:rPr>
                <w:rFonts w:ascii="宋体" w:hAnsi="宋体" w:eastAsia="宋体" w:cs="宋体"/>
                <w:color w:val="000000"/>
                <w:spacing w:val="-1"/>
                <w:kern w:val="0"/>
                <w:sz w:val="18"/>
                <w:szCs w:val="18"/>
                <w:lang w:bidi="zh-CN"/>
              </w:rPr>
            </w:pPr>
            <w:r>
              <w:rPr>
                <w:rFonts w:hint="eastAsia" w:ascii="宋体" w:hAnsi="宋体" w:eastAsia="宋体" w:cs="宋体"/>
                <w:color w:val="000000"/>
                <w:spacing w:val="-1"/>
                <w:kern w:val="0"/>
                <w:sz w:val="18"/>
                <w:szCs w:val="18"/>
                <w:lang w:bidi="zh-CN"/>
              </w:rPr>
              <w:t>入学教育</w:t>
            </w:r>
          </w:p>
        </w:tc>
        <w:tc>
          <w:tcPr>
            <w:tcW w:w="4116" w:type="dxa"/>
            <w:vAlign w:val="center"/>
          </w:tcPr>
          <w:p>
            <w:pPr>
              <w:autoSpaceDE w:val="0"/>
              <w:autoSpaceDN w:val="0"/>
              <w:adjustRightInd w:val="0"/>
              <w:snapToGrid w:val="0"/>
              <w:jc w:val="left"/>
              <w:rPr>
                <w:rFonts w:ascii="宋体" w:hAnsi="宋体" w:eastAsia="宋体" w:cs="宋体"/>
                <w:color w:val="000000"/>
                <w:spacing w:val="-1"/>
                <w:kern w:val="0"/>
                <w:sz w:val="18"/>
                <w:szCs w:val="18"/>
                <w:lang w:bidi="zh-CN"/>
              </w:rPr>
            </w:pPr>
            <w:r>
              <w:rPr>
                <w:rFonts w:hint="eastAsia" w:ascii="宋体" w:hAnsi="宋体" w:eastAsia="宋体" w:cs="宋体"/>
                <w:color w:val="000000"/>
                <w:spacing w:val="-1"/>
                <w:kern w:val="0"/>
                <w:sz w:val="18"/>
                <w:szCs w:val="18"/>
                <w:lang w:bidi="zh-CN"/>
              </w:rPr>
              <w:t>通过《大学新生入学教育》课程教学，使学生学会遵纪守法、遵守学校的规章制度，理论与实践的有机结合，使学生对专业设置、专业人才培养模式、专业课程设置、专业学习方法等内容有了进一步的了解，以便对自己所学专业有个完整的认知过程，有助于做好未来的职业生涯规化;通过具体的参观实践活动，使学生在入学开始便接受爱国、爱校教育，使其提升爱国、爱校意识，以便为学院、国家的发展做出更大的贡献。</w:t>
            </w:r>
          </w:p>
        </w:tc>
        <w:tc>
          <w:tcPr>
            <w:tcW w:w="3656" w:type="dxa"/>
            <w:vAlign w:val="center"/>
          </w:tcPr>
          <w:p>
            <w:pPr>
              <w:autoSpaceDE w:val="0"/>
              <w:autoSpaceDN w:val="0"/>
              <w:adjustRightInd w:val="0"/>
              <w:snapToGrid w:val="0"/>
              <w:jc w:val="left"/>
              <w:rPr>
                <w:rFonts w:ascii="宋体" w:hAnsi="宋体" w:eastAsia="宋体" w:cs="宋体"/>
                <w:color w:val="000000"/>
                <w:spacing w:val="-1"/>
                <w:kern w:val="0"/>
                <w:sz w:val="18"/>
                <w:szCs w:val="18"/>
                <w:lang w:bidi="zh-CN"/>
              </w:rPr>
            </w:pPr>
            <w:r>
              <w:rPr>
                <w:rFonts w:hint="eastAsia" w:ascii="宋体" w:hAnsi="宋体" w:eastAsia="宋体" w:cs="宋体"/>
                <w:color w:val="000000"/>
                <w:spacing w:val="-1"/>
                <w:kern w:val="0"/>
                <w:sz w:val="18"/>
                <w:szCs w:val="18"/>
                <w:lang w:bidi="zh-CN"/>
              </w:rPr>
              <w:t>大学是什么、大学生与社团活动、大学生要学会自己学习、大学生的人际交往与情感、大学生身心健康、大学生的安全教育、如何有效利用网络、大学生职业生涯规划。</w:t>
            </w:r>
          </w:p>
        </w:tc>
      </w:tr>
    </w:tbl>
    <w:p>
      <w:pPr>
        <w:spacing w:before="98"/>
        <w:ind w:firstLine="360" w:firstLineChars="150"/>
        <w:jc w:val="left"/>
        <w:rPr>
          <w:rFonts w:ascii="仿宋" w:hAnsi="仿宋" w:eastAsia="仿宋" w:cs="仿宋"/>
          <w:b/>
          <w:bCs/>
          <w:color w:val="000000"/>
          <w:sz w:val="28"/>
          <w:szCs w:val="28"/>
        </w:rPr>
      </w:pPr>
      <w:r>
        <w:rPr>
          <w:rFonts w:hint="eastAsia" w:ascii="宋体" w:hAnsi="宋体" w:eastAsia="宋体" w:cs="宋体"/>
          <w:color w:val="1A1A1A" w:themeColor="background1" w:themeShade="1A"/>
          <w:sz w:val="24"/>
          <w:szCs w:val="24"/>
        </w:rPr>
        <w:t>（</w:t>
      </w:r>
      <w:r>
        <w:rPr>
          <w:rFonts w:hint="eastAsia" w:ascii="宋体" w:hAnsi="宋体" w:eastAsia="宋体" w:cs="宋体"/>
          <w:color w:val="1A1A1A" w:themeColor="background1" w:themeShade="1A"/>
          <w:sz w:val="24"/>
          <w:szCs w:val="24"/>
          <w:lang w:val="zh-CN"/>
        </w:rPr>
        <w:t>三）专业（技能）课程概述</w:t>
      </w:r>
      <w:r>
        <w:rPr>
          <w:rFonts w:hint="eastAsia" w:ascii="仿宋" w:hAnsi="仿宋" w:eastAsia="仿宋" w:cs="仿宋"/>
          <w:b/>
          <w:bCs/>
          <w:color w:val="000000"/>
          <w:sz w:val="28"/>
          <w:szCs w:val="28"/>
        </w:rPr>
        <w:t xml:space="preserve"> </w:t>
      </w:r>
    </w:p>
    <w:p>
      <w:pPr>
        <w:spacing w:before="98" w:line="312" w:lineRule="auto"/>
        <w:ind w:left="420" w:leftChars="200"/>
        <w:jc w:val="center"/>
        <w:rPr>
          <w:rFonts w:ascii="宋体" w:hAnsi="宋体" w:eastAsia="宋体" w:cs="宋体"/>
          <w:color w:val="000000"/>
          <w:szCs w:val="21"/>
        </w:rPr>
      </w:pPr>
      <w:r>
        <w:rPr>
          <w:rFonts w:hint="eastAsia" w:ascii="宋体" w:hAnsi="宋体" w:eastAsia="宋体" w:cs="宋体"/>
          <w:color w:val="000000"/>
          <w:szCs w:val="21"/>
        </w:rPr>
        <w:t>表6-2  专业课课程目标与主要教学内容</w:t>
      </w:r>
    </w:p>
    <w:tbl>
      <w:tblPr>
        <w:tblStyle w:val="16"/>
        <w:tblW w:w="9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568"/>
        <w:gridCol w:w="744"/>
        <w:gridCol w:w="3869"/>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序号</w:t>
            </w:r>
          </w:p>
        </w:tc>
        <w:tc>
          <w:tcPr>
            <w:tcW w:w="568" w:type="dxa"/>
            <w:tcMar>
              <w:top w:w="0" w:type="dxa"/>
              <w:left w:w="57" w:type="dxa"/>
              <w:bottom w:w="0" w:type="dxa"/>
              <w:right w:w="57"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类型</w:t>
            </w:r>
          </w:p>
        </w:tc>
        <w:tc>
          <w:tcPr>
            <w:tcW w:w="744" w:type="dxa"/>
            <w:tcMar>
              <w:top w:w="0" w:type="dxa"/>
              <w:left w:w="74" w:type="dxa"/>
              <w:bottom w:w="0" w:type="dxa"/>
              <w:right w:w="74"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课程名称</w:t>
            </w:r>
          </w:p>
        </w:tc>
        <w:tc>
          <w:tcPr>
            <w:tcW w:w="3869" w:type="dxa"/>
            <w:tcMar>
              <w:top w:w="0" w:type="dxa"/>
              <w:left w:w="108" w:type="dxa"/>
              <w:bottom w:w="0" w:type="dxa"/>
              <w:right w:w="108"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课程目标</w:t>
            </w:r>
          </w:p>
        </w:tc>
        <w:tc>
          <w:tcPr>
            <w:tcW w:w="3840" w:type="dxa"/>
            <w:tcMar>
              <w:top w:w="0" w:type="dxa"/>
              <w:left w:w="108" w:type="dxa"/>
              <w:bottom w:w="0" w:type="dxa"/>
              <w:right w:w="108"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w:t>
            </w:r>
          </w:p>
        </w:tc>
        <w:tc>
          <w:tcPr>
            <w:tcW w:w="568" w:type="dxa"/>
            <w:vMerge w:val="restart"/>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专业基   础  课</w:t>
            </w: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基础会计</w:t>
            </w:r>
          </w:p>
        </w:tc>
        <w:tc>
          <w:tcPr>
            <w:tcW w:w="3869" w:type="dxa"/>
            <w:tcMar>
              <w:top w:w="0" w:type="dxa"/>
              <w:left w:w="108" w:type="dxa"/>
              <w:right w:w="108" w:type="dxa"/>
            </w:tcMar>
            <w:vAlign w:val="center"/>
          </w:tcPr>
          <w:p>
            <w:pPr>
              <w:autoSpaceDE w:val="0"/>
              <w:autoSpaceDN w:val="0"/>
              <w:adjustRightInd w:val="0"/>
              <w:snapToGrid w:val="0"/>
              <w:spacing w:line="260" w:lineRule="exact"/>
              <w:jc w:val="left"/>
              <w:rPr>
                <w:rFonts w:ascii="宋体" w:hAnsi="宋体" w:eastAsia="宋体" w:cs="宋体"/>
                <w:kern w:val="0"/>
                <w:sz w:val="18"/>
                <w:szCs w:val="18"/>
              </w:rPr>
            </w:pPr>
            <w:r>
              <w:rPr>
                <w:rFonts w:hint="eastAsia" w:ascii="宋体" w:hAnsi="宋体" w:eastAsia="宋体" w:cs="宋体"/>
                <w:kern w:val="0"/>
                <w:sz w:val="18"/>
                <w:szCs w:val="18"/>
              </w:rPr>
              <w:t>通过本课程的学习，使学生掌握会计核算基本技能及会计核算基础知识，了解企业会计处理基本流程，具备基本的会计账务处理能力。</w:t>
            </w:r>
          </w:p>
        </w:tc>
        <w:tc>
          <w:tcPr>
            <w:tcW w:w="3840" w:type="dxa"/>
            <w:tcMar>
              <w:top w:w="0" w:type="dxa"/>
              <w:left w:w="108" w:type="dxa"/>
              <w:right w:w="108" w:type="dxa"/>
            </w:tcMar>
            <w:vAlign w:val="center"/>
          </w:tcPr>
          <w:p>
            <w:pPr>
              <w:adjustRightInd w:val="0"/>
              <w:snapToGrid w:val="0"/>
              <w:spacing w:line="260" w:lineRule="exact"/>
              <w:rPr>
                <w:rFonts w:ascii="宋体" w:hAnsi="宋体" w:eastAsia="宋体" w:cs="宋体"/>
                <w:sz w:val="18"/>
                <w:szCs w:val="18"/>
              </w:rPr>
            </w:pPr>
            <w:r>
              <w:rPr>
                <w:rFonts w:hint="eastAsia" w:ascii="宋体" w:hAnsi="宋体" w:eastAsia="宋体" w:cs="宋体"/>
                <w:sz w:val="18"/>
                <w:szCs w:val="18"/>
              </w:rPr>
              <w:t>会计的认知；原始凭证的填制与审核、填制会计记账凭证、登记会计账簿；财产物资的清查、盘点与账务处理；编制会计报表、会计档案管理。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经济法基础</w:t>
            </w:r>
          </w:p>
        </w:tc>
        <w:tc>
          <w:tcPr>
            <w:tcW w:w="3869" w:type="dxa"/>
            <w:tcMar>
              <w:top w:w="0" w:type="dxa"/>
              <w:left w:w="108" w:type="dxa"/>
              <w:bottom w:w="0"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通过本课程的学习，使学生掌握经济法的相关理论知识，熟悉经济活动中的法律法规，树立在经济活动中法律意识。</w:t>
            </w:r>
          </w:p>
        </w:tc>
        <w:tc>
          <w:tcPr>
            <w:tcW w:w="3840" w:type="dxa"/>
            <w:tcMar>
              <w:top w:w="0" w:type="dxa"/>
              <w:left w:w="108" w:type="dxa"/>
              <w:bottom w:w="0"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会计法律制度，支付结算法律制度，票据法律制度，劳动合同法律制度，社会保险法律制度，仲裁法律制度，诉讼法律制度等内容。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3</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经济数学</w:t>
            </w:r>
          </w:p>
        </w:tc>
        <w:tc>
          <w:tcPr>
            <w:tcW w:w="3869" w:type="dxa"/>
            <w:tcMar>
              <w:top w:w="0" w:type="dxa"/>
              <w:left w:w="108" w:type="dxa"/>
              <w:right w:w="108" w:type="dxa"/>
            </w:tcMar>
            <w:vAlign w:val="center"/>
          </w:tcPr>
          <w:p>
            <w:pPr>
              <w:autoSpaceDE w:val="0"/>
              <w:autoSpaceDN w:val="0"/>
              <w:adjustRightInd w:val="0"/>
              <w:snapToGrid w:val="0"/>
              <w:spacing w:line="26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帮助学生掌握良好的学习方法，培养学生逻辑思维能力、分析解决问题能力，努力提高学生的数学修养与素质。</w:t>
            </w:r>
          </w:p>
        </w:tc>
        <w:tc>
          <w:tcPr>
            <w:tcW w:w="3840" w:type="dxa"/>
            <w:tcMar>
              <w:top w:w="0" w:type="dxa"/>
              <w:left w:w="108" w:type="dxa"/>
              <w:bottom w:w="0" w:type="dxa"/>
              <w:right w:w="108" w:type="dxa"/>
            </w:tcMar>
            <w:vAlign w:val="center"/>
          </w:tcPr>
          <w:p>
            <w:pPr>
              <w:autoSpaceDE w:val="0"/>
              <w:autoSpaceDN w:val="0"/>
              <w:adjustRightInd w:val="0"/>
              <w:snapToGrid w:val="0"/>
              <w:spacing w:line="26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包括函数、极限与连续，导数、微分与应用，不定积分与定积分，概率应用基础和线性规划5章内容。教学内容</w:t>
            </w:r>
            <w:r>
              <w:rPr>
                <w:rFonts w:hint="eastAsia" w:ascii="宋体" w:hAnsi="宋体" w:eastAsia="宋体" w:cs="宋体"/>
                <w:bCs/>
                <w:color w:val="000000" w:themeColor="text1"/>
                <w:sz w:val="18"/>
                <w:szCs w:val="18"/>
                <w14:textFill>
                  <w14:solidFill>
                    <w14:schemeClr w14:val="tx1"/>
                  </w14:solidFill>
                </w14:textFill>
              </w:rPr>
              <w:t>既拓宽学生视野，降低知识难度，以必需够用为度，又做好与普通高中或中职教育的衔接，并依据专业课程的需要，以实际应用为主。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4</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经济学基础</w:t>
            </w:r>
          </w:p>
        </w:tc>
        <w:tc>
          <w:tcPr>
            <w:tcW w:w="3869" w:type="dxa"/>
            <w:tcMar>
              <w:top w:w="0" w:type="dxa"/>
              <w:left w:w="108" w:type="dxa"/>
              <w:right w:w="108" w:type="dxa"/>
            </w:tcMar>
            <w:vAlign w:val="center"/>
          </w:tcPr>
          <w:p>
            <w:pPr>
              <w:adjustRightInd w:val="0"/>
              <w:snapToGrid w:val="0"/>
              <w:spacing w:line="26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通过本课程的学习，使学生掌握经济学的基本理论，了解经济中的各种现象、关系和规律，熟悉经济学的基本分析方法，具备应职岗位所必须的基本经济理论知识和解决相关经济问题的能力。</w:t>
            </w:r>
          </w:p>
        </w:tc>
        <w:tc>
          <w:tcPr>
            <w:tcW w:w="3840" w:type="dxa"/>
            <w:tcMar>
              <w:top w:w="0" w:type="dxa"/>
              <w:left w:w="108" w:type="dxa"/>
              <w:bottom w:w="0" w:type="dxa"/>
              <w:right w:w="108" w:type="dxa"/>
            </w:tcMar>
            <w:vAlign w:val="center"/>
          </w:tcPr>
          <w:p>
            <w:pPr>
              <w:adjustRightInd w:val="0"/>
              <w:snapToGrid w:val="0"/>
              <w:spacing w:line="26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经济学导论、</w:t>
            </w:r>
            <w:r>
              <w:rPr>
                <w:rFonts w:hint="eastAsia" w:ascii="宋体" w:hAnsi="宋体" w:eastAsia="宋体" w:cs="宋体"/>
                <w:color w:val="000000" w:themeColor="text1"/>
                <w:kern w:val="0"/>
                <w:sz w:val="18"/>
                <w:szCs w:val="18"/>
                <w14:textFill>
                  <w14:solidFill>
                    <w14:schemeClr w14:val="tx1"/>
                  </w14:solidFill>
                </w14:textFill>
              </w:rPr>
              <w:t>认识供求、价格与弹性、消费者行为分析、生产者行为分析、企业成本与收益分析、认识国民收入、认识失业与通货膨胀、宏观经济政策实施等内容。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5</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管理学原理</w:t>
            </w:r>
          </w:p>
        </w:tc>
        <w:tc>
          <w:tcPr>
            <w:tcW w:w="3869" w:type="dxa"/>
            <w:tcMar>
              <w:top w:w="0" w:type="dxa"/>
              <w:left w:w="108" w:type="dxa"/>
              <w:right w:w="108" w:type="dxa"/>
            </w:tcMar>
            <w:vAlign w:val="center"/>
          </w:tcPr>
          <w:p>
            <w:pPr>
              <w:autoSpaceDE w:val="0"/>
              <w:autoSpaceDN w:val="0"/>
              <w:adjustRightInd w:val="0"/>
              <w:snapToGrid w:val="0"/>
              <w:spacing w:line="262"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掌握管理的方法和技术，培养管理意识，注重理论联系实际，具备一定的分析问题与解决管理实际问题的能力。</w:t>
            </w:r>
          </w:p>
        </w:tc>
        <w:tc>
          <w:tcPr>
            <w:tcW w:w="3840" w:type="dxa"/>
            <w:tcMar>
              <w:top w:w="0" w:type="dxa"/>
              <w:left w:w="108" w:type="dxa"/>
              <w:bottom w:w="0" w:type="dxa"/>
              <w:right w:w="108" w:type="dxa"/>
            </w:tcMar>
            <w:vAlign w:val="center"/>
          </w:tcPr>
          <w:p>
            <w:pPr>
              <w:autoSpaceDE w:val="0"/>
              <w:autoSpaceDN w:val="0"/>
              <w:adjustRightInd w:val="0"/>
              <w:snapToGrid w:val="0"/>
              <w:spacing w:line="262"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管理的涵义及管理的属性，古典理论与人际关系论的主要管理思想，决策、计划及方法，设计组织结构，人员配备，领导理论，有效激励，有效控制，创新性思维。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6</w:t>
            </w:r>
          </w:p>
        </w:tc>
        <w:tc>
          <w:tcPr>
            <w:tcW w:w="568" w:type="dxa"/>
            <w:vMerge w:val="restart"/>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专业核  心  课</w:t>
            </w: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财务会计</w:t>
            </w:r>
          </w:p>
        </w:tc>
        <w:tc>
          <w:tcPr>
            <w:tcW w:w="3869" w:type="dxa"/>
            <w:tcMar>
              <w:top w:w="0" w:type="dxa"/>
              <w:left w:w="108" w:type="dxa"/>
              <w:bottom w:w="0" w:type="dxa"/>
              <w:right w:w="108" w:type="dxa"/>
            </w:tcMar>
            <w:vAlign w:val="center"/>
          </w:tcPr>
          <w:p>
            <w:pPr>
              <w:pStyle w:val="12"/>
              <w:kinsoku w:val="0"/>
              <w:adjustRightInd w:val="0"/>
              <w:snapToGrid w:val="0"/>
              <w:spacing w:before="0" w:beforeAutospacing="0" w:after="0" w:afterAutospacing="0" w:line="260" w:lineRule="exact"/>
              <w:textAlignment w:val="baseline"/>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通过本课程的学习，使学生学能掌握经济业务的处理方法，培养学生账务处理的能力，使学生具备会计岗位操作的能力。</w:t>
            </w:r>
          </w:p>
        </w:tc>
        <w:tc>
          <w:tcPr>
            <w:tcW w:w="3840" w:type="dxa"/>
            <w:tcMar>
              <w:top w:w="0" w:type="dxa"/>
              <w:left w:w="108" w:type="dxa"/>
              <w:right w:w="108" w:type="dxa"/>
            </w:tcMar>
            <w:vAlign w:val="center"/>
          </w:tcPr>
          <w:p>
            <w:pPr>
              <w:autoSpaceDE w:val="0"/>
              <w:autoSpaceDN w:val="0"/>
              <w:adjustRightInd w:val="0"/>
              <w:snapToGrid w:val="0"/>
              <w:spacing w:line="260" w:lineRule="exact"/>
              <w:jc w:val="lef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财务会计概念框架；现金、银行存款、往来账务、存货、固定资产、无形资产、投资性房地产、资产减值等资产的核算、金融资产、长期股权投资、固流动负债和非流动负债的核算；所有者权益的核算；收入的核算；费用的核算；利润的核算；财务会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7</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成本核算与管理</w:t>
            </w:r>
          </w:p>
        </w:tc>
        <w:tc>
          <w:tcPr>
            <w:tcW w:w="3869" w:type="dxa"/>
            <w:tcMar>
              <w:top w:w="0" w:type="dxa"/>
              <w:left w:w="108"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通过本课程的学习，使学生掌握成本核算和分析的知识和技能，培养学生处理成本相关问题能力，基本具备成本会计的岗位工作能力。</w:t>
            </w:r>
          </w:p>
        </w:tc>
        <w:tc>
          <w:tcPr>
            <w:tcW w:w="3840" w:type="dxa"/>
            <w:tcMar>
              <w:top w:w="0" w:type="dxa"/>
              <w:left w:w="108"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成本核算程序、费用归集和分配、品种法、作业成本法、目标成本法、标准成本法、变动成本法、成本报表的编制和成本分析与管理。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8</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纳税实务</w:t>
            </w:r>
          </w:p>
        </w:tc>
        <w:tc>
          <w:tcPr>
            <w:tcW w:w="3869" w:type="dxa"/>
            <w:tcMar>
              <w:top w:w="0" w:type="dxa"/>
              <w:left w:w="108"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通过本课程的学习，使学生掌握涉税业务的计算、账务处理、税务办理及纳税筹划的知识和技能，培养学生处理纳税问题能力，基本具备办税员的工作能力。</w:t>
            </w:r>
          </w:p>
        </w:tc>
        <w:tc>
          <w:tcPr>
            <w:tcW w:w="3840" w:type="dxa"/>
            <w:tcMar>
              <w:top w:w="0" w:type="dxa"/>
              <w:left w:w="108"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税收管理、增值税计算与申报、消费税计算与申报、关税计算与申报、企业所得税计算与申报、个人所得税计算与申报以及其他税种的计算与申报、纳税筹划与风险管控。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9</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财务管理</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通过本课程的学习，使学生掌握筹资、投资、经营和分配的知识和技能，培养学生对资金管理能力，具备一定的财务管理能力。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货币时间价值、筹资管理、投资管理、营运资金管理、收益分配管理、全面预算管理等。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10</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管理会计</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通过本课程学习，使学生了解预测决策预算控制的知识和技能，掌握本量利分析方法，培养学生具有一定的企业管理能力。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本量利分析，预测分析，经营决策，标准成本，全面预算，业绩评价。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11</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业财一体信息化应用</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通过本课程学习，使学生具备考取业财一体信息化（中级）技能等级证书的能力。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业财一体信息化平台业务流程实施、期初数据维护、财务处理、业务处理、税务业务管理、期末业财账务处理。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12</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ERP财务应用（财务链与供应链）</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通过本课程的学习，使学生掌握ERP财务链、供应链的知识，了解企业ERP财务链、供应链基本流程，具备基本的ERP财务链、供应链处理能力。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ERP财务链系统初始化、账务系统初始化、账务系统日常业务处理、工资管理系统、固定资产管理系统、应收管理系统、 应付管理系统、账务系统期末处理、报表的处理。ERP采购管理、销售管理、库存管理、存货核算、期末业务处理、供应链管理综合训练。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13</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大数据财务分析</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结合大数据、云计算、业财融合等新技术与管理理念，帮助学生进一步认识和解读企业的经营数据，学会从业务的角度来理解财务，让学生不仅能通过企业的三大报表来分析企业的财务状况，更能透过销售、采购、库存、生产等环节来透视企业的经营状况，掌握业务环节的经营管控能力。同时，透过经营分析所发现的异常，让学生学会诊断企业经营管理的问题，以及管理优化改善的方法，培养“互联网+”时代下高端财务管理人才。</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财务大数据分析体系介绍、行业经营管理特点分析、企业销售环节关键经营指标分析、费用与成本管理关键经营指标分析、企业盈利能力关键指标分析、企业经营预警关键指标分析、进行企业经营管理诊断分析，提交诀策分析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14</w:t>
            </w:r>
          </w:p>
        </w:tc>
        <w:tc>
          <w:tcPr>
            <w:tcW w:w="568" w:type="dxa"/>
            <w:vMerge w:val="restart"/>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专业拓展  课</w:t>
            </w: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行业会计</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通过本课程的学习，使学生学掌握各个行业会计核算的基本原理和方法，培养学生各个不同行业会计专业理论知识和实际工作能力。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房地产开发企业、交通运输企业、旅游餐饮服务企业等于主要行业的典型会计业务。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15</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市场营销基础</w:t>
            </w:r>
          </w:p>
        </w:tc>
        <w:tc>
          <w:tcPr>
            <w:tcW w:w="3869" w:type="dxa"/>
            <w:tcMar>
              <w:top w:w="0" w:type="dxa"/>
              <w:left w:w="108" w:type="dxa"/>
              <w:bottom w:w="17" w:type="dxa"/>
              <w:right w:w="108" w:type="dxa"/>
            </w:tcMar>
            <w:vAlign w:val="center"/>
          </w:tcPr>
          <w:p>
            <w:pPr>
              <w:autoSpaceDE w:val="0"/>
              <w:autoSpaceDN w:val="0"/>
              <w:adjustRightInd w:val="0"/>
              <w:snapToGrid w:val="0"/>
              <w:spacing w:line="26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通过本课程的学习，使学生具备营销思维，掌握市场营销的基础知识，能够进行简单的市场预测，掌握如何进行客户识别，如何开展客户服务，熟悉信息技术在客户关系管理中的应用，具备一定的客户关系管理技能，更好地为企业生产经营管理服务。</w:t>
            </w:r>
          </w:p>
        </w:tc>
        <w:tc>
          <w:tcPr>
            <w:tcW w:w="3840" w:type="dxa"/>
            <w:tcMar>
              <w:top w:w="0" w:type="dxa"/>
              <w:left w:w="108" w:type="dxa"/>
              <w:bottom w:w="17" w:type="dxa"/>
              <w:right w:w="108" w:type="dxa"/>
            </w:tcMar>
            <w:vAlign w:val="center"/>
          </w:tcPr>
          <w:p>
            <w:pPr>
              <w:autoSpaceDE w:val="0"/>
              <w:autoSpaceDN w:val="0"/>
              <w:adjustRightInd w:val="0"/>
              <w:snapToGrid w:val="0"/>
              <w:spacing w:line="260" w:lineRule="exac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根据企业需要确定市场调查项目；进行市场调查策划，制定市场调查方案；选择市场调查方法，进行实地市场调查；能够运用市场预测的方法进行简单的市场预测。走进客户关系管理、建立客户关系、客户服务意见和理念，维护客户关系、客户关系管理信息化、客户关系管理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16</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审计实务</w:t>
            </w:r>
          </w:p>
        </w:tc>
        <w:tc>
          <w:tcPr>
            <w:tcW w:w="3869" w:type="dxa"/>
            <w:tcMar>
              <w:top w:w="0" w:type="dxa"/>
              <w:left w:w="108" w:type="dxa"/>
              <w:bottom w:w="17" w:type="dxa"/>
              <w:right w:w="108" w:type="dxa"/>
            </w:tcMar>
            <w:vAlign w:val="center"/>
          </w:tcPr>
          <w:p>
            <w:pPr>
              <w:autoSpaceDE w:val="0"/>
              <w:autoSpaceDN w:val="0"/>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掌握如何对财务舞弊行为作出审计判断、确认及处理；掌握各循环审计控制测试、实质性程序等方法、内容，并能将工作过程和结果正确记录于审计工作底稿；掌握销售与收款循环中错误舞弊形式、审计要点及技巧；掌握购货与付款循环中错误舞弊形式、审计要点及技巧；掌握存货与仓储循环中错误舞弊形式、审计要点及技巧；掌握筹资与投资循环中错误舞弊形式、审计要点及技巧；掌握货币资金收支中错误舞弊形式、审计要点及技巧；掌握财务报表中错误舞弊形式、审计要点及技巧</w:t>
            </w:r>
            <w:r>
              <w:rPr>
                <w:rFonts w:hint="eastAsia" w:ascii="宋体" w:hAnsi="宋体" w:eastAsia="宋体" w:cs="宋体"/>
                <w:color w:val="000000" w:themeColor="text1"/>
                <w:kern w:val="0"/>
                <w:sz w:val="18"/>
                <w:szCs w:val="18"/>
                <w14:textFill>
                  <w14:solidFill>
                    <w14:schemeClr w14:val="tx1"/>
                  </w14:solidFill>
                </w14:textFill>
              </w:rPr>
              <w:t>。</w:t>
            </w:r>
          </w:p>
        </w:tc>
        <w:tc>
          <w:tcPr>
            <w:tcW w:w="3840" w:type="dxa"/>
            <w:tcMar>
              <w:top w:w="0" w:type="dxa"/>
              <w:left w:w="108" w:type="dxa"/>
              <w:bottom w:w="17" w:type="dxa"/>
              <w:right w:w="108" w:type="dxa"/>
            </w:tcMar>
            <w:vAlign w:val="center"/>
          </w:tcPr>
          <w:p>
            <w:pP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bCs/>
                <w:color w:val="000000" w:themeColor="text1"/>
                <w:sz w:val="18"/>
                <w:szCs w:val="18"/>
                <w14:textFill>
                  <w14:solidFill>
                    <w14:schemeClr w14:val="tx1"/>
                  </w14:solidFill>
                </w14:textFill>
              </w:rPr>
              <w:t>货币资金收支审计；销售与收款循环审计</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Cs/>
                <w:color w:val="000000" w:themeColor="text1"/>
                <w:sz w:val="18"/>
                <w:szCs w:val="18"/>
                <w14:textFill>
                  <w14:solidFill>
                    <w14:schemeClr w14:val="tx1"/>
                  </w14:solidFill>
                </w14:textFill>
              </w:rPr>
              <w:t>采购与付款循环审计</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Cs/>
                <w:color w:val="000000" w:themeColor="text1"/>
                <w:sz w:val="18"/>
                <w:szCs w:val="18"/>
                <w14:textFill>
                  <w14:solidFill>
                    <w14:schemeClr w14:val="tx1"/>
                  </w14:solidFill>
                </w14:textFill>
              </w:rPr>
              <w:t>存货与仓储循环审计；筹资与投资循环审计</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Cs/>
                <w:color w:val="000000" w:themeColor="text1"/>
                <w:sz w:val="18"/>
                <w:szCs w:val="18"/>
                <w14:textFill>
                  <w14:solidFill>
                    <w14:schemeClr w14:val="tx1"/>
                  </w14:solidFill>
                </w14:textFill>
              </w:rPr>
              <w:t>审计报告撰写</w:t>
            </w:r>
            <w:r>
              <w:rPr>
                <w:rFonts w:hint="eastAsia" w:ascii="宋体" w:hAnsi="宋体" w:eastAsia="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17</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会计制度设计</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通过本课程的学习，使学生掌握会计制度设计的基本原理与基本方法，能够独立从事会计制度设计工作。</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企业会计组织机构设计、企业会计核算制度设计、企业主要经济事项会计制度设计。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18</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证券基础</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通过本课程的学习，使学生掌握统计学的基本概念和基本理论，了解统计的工作过程，熟悉统计的基本分析方法，具备运用Excel的统计计算和分析的能力。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认知统计学和统计数据、统计数据收集、统计整理、综合指标分析、动态分析、指数分析、抽样推断、EXCEL在统计数据收集中的应用、EXCEL在统计整理中的应用、、EXCEL在动态分析中的应用、EXCEL在指数分析中的应用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19</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风险管理</w:t>
            </w:r>
          </w:p>
        </w:tc>
        <w:tc>
          <w:tcPr>
            <w:tcW w:w="3869" w:type="dxa"/>
            <w:tcMar>
              <w:top w:w="0" w:type="dxa"/>
              <w:left w:w="68" w:type="dxa"/>
              <w:right w:w="74"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通过本课程学习，使学生了解初步分析指标分析和综合分析方法，掌握财务指标计算技能，培养学生财务分析能力。</w:t>
            </w:r>
          </w:p>
        </w:tc>
        <w:tc>
          <w:tcPr>
            <w:tcW w:w="3840" w:type="dxa"/>
            <w:tcMar>
              <w:top w:w="0" w:type="dxa"/>
              <w:left w:w="108"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财务报表基本知识，报表分析影响因素，初步分析，指标分析和综合分析。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20</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资产评估实务</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本课程以资产评估的基本理论、基本方法等基础知识和各类具体资产的评估操作实务等评估实务为主要内容，通过学习，旨在使学生明确资产评估的基本原理和方法，熟悉资产评估相关法规，熟练掌握资产评估操作规范以及资产评估的基本方法，并了解国内外资产评估理论发展前沿动态，以培养学生厚实的资产评估专业素养和过硬的职业技能。</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资产评估概述、资产评估的基本方法、资产评估程序、机器设备评估、房地产评估、无形资产评估、长期投资性资产评估、流动资产评估、资源性资产评估、企业价值评估、资产评估报告等内容。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21</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个人理财</w:t>
            </w:r>
          </w:p>
        </w:tc>
        <w:tc>
          <w:tcPr>
            <w:tcW w:w="3869" w:type="dxa"/>
            <w:tcMar>
              <w:top w:w="0" w:type="dxa"/>
              <w:left w:w="68" w:type="dxa"/>
              <w:bottom w:w="0" w:type="dxa"/>
              <w:right w:w="6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通过本课程的学习，要求学生掌握个人或家庭在进行理财规划过程中所涉及的基础知识和技能，掌握理财规划工具的选择与使用，以及进行理财规划的具体实务。</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教学，学生能够了解如何制定财务计划，如何评价客户的财务目标，区分财务资源和财务需求，了解金融市场各种投资工具特点和适用对象、投资的风险与基本分析技术;掌握投资组合的概念和理论、投资组合的分析和风险管理技术:最终能够帮助客户进行投资计划，并选择和组合金融工具并以帮助客户进行管理，以实现一定的财务目标。了解保险计划知识，并对个人或家庭的资金管理成功地运用保险计划，实现风险规避，增加个人财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22</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税收筹划</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sz w:val="18"/>
                <w:szCs w:val="18"/>
              </w:rPr>
            </w:pPr>
            <w:r>
              <w:rPr>
                <w:rFonts w:hint="eastAsia" w:ascii="宋体" w:hAnsi="宋体" w:eastAsia="宋体" w:cs="宋体"/>
                <w:sz w:val="18"/>
                <w:szCs w:val="18"/>
              </w:rPr>
              <w:t>期望学生应该通过本课程的学习能优化企业财务处理中的涉税业务，融合各专业基础知识解决实际问题，并具有分析判断实际涉税业务方案优劣的技术。要求学生积极主动学习，认真完成作业，广泛涉猎，贴近企业纳税业务的实际。</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sz w:val="18"/>
                <w:szCs w:val="18"/>
              </w:rPr>
            </w:pPr>
            <w:r>
              <w:rPr>
                <w:rFonts w:hint="eastAsia" w:ascii="宋体" w:hAnsi="宋体" w:eastAsia="宋体" w:cs="宋体"/>
                <w:sz w:val="18"/>
                <w:szCs w:val="18"/>
              </w:rPr>
              <w:t>税收筹划的概念与分类、税收筹划的动因与意义、税收筹划的理论依据、税收筹划的目标税收筹划的空间与范围。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23</w:t>
            </w:r>
          </w:p>
        </w:tc>
        <w:tc>
          <w:tcPr>
            <w:tcW w:w="568" w:type="dxa"/>
            <w:vMerge w:val="continue"/>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内部控制实务</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使学生了解企业内部控制建立和健全的必要性和重要性、明确企业内部控制的产生和发展历史，吸收当前世界主要国家内部控制规范体系及其实践，让学生形成良好的企业内部控制设计、评价与报告的思维框架，促进学生更好解决企业内部控制的实践问题。</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为什么要强调内部控制、什么是内部控制、如何进行内部控制、内部控制评价、内部控制案例。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24</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数据思维</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认识大数据和大数据带来的变革；大数据的价值体现，各行业应用；大数据带来的行业机遇和挑战；了解互联网业务的模式和特点；掌握并理解互联网思维理念，认识互联网思维带来的商业变革；结合行业特点：如何融入互联网？</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认识大数据； 大数据带来的变革和价值体现；大数据的行业应用；大数据带来的行业机遇；我们与大数据；什么样的思维是互联网思维；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传统企业如何融入互联网。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1</w:t>
            </w:r>
          </w:p>
        </w:tc>
        <w:tc>
          <w:tcPr>
            <w:tcW w:w="568" w:type="dxa"/>
            <w:vMerge w:val="restart"/>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专  业  实践课程</w:t>
            </w: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基础会计手工实训</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通过本课程的学习，使学生掌握代理记账企业全面工作，培养了学生实际企业账务处理能力。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代理记账流程认知、清单、计税与报税、账务录入、成本计算、凭证装订、登账、套账实操。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2</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出纳实务实训</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通过本课程的学习,学生具备数码字书写、点钞、保险柜的开启与关闭，现金收付填写凭证以及银行结算票据的填写，会开设银行存款账户，编制出纳报表以及交接手续的能力。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出纳岗位基本技能；现金结算业务处理能力；银行结算业务处理能力；出纳报表业务处理能力；出纳岗位工作交接能力。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3</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excel在财务中的运用</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通过本课程的学习，使学生掌握常用的Excel操作与常用办公技巧，熟悉数据处理方法，培养学生运用Excel解决实际问题的能力。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EXCEL基本操作、查找与替换、分类汇总、数据有效性、数据透视表、插入公式、IF函数；Vlookup函数、Vlookup函数、Countif函数、Sumif函数等常用函数运用。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4</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Style w:val="38"/>
                <w:rFonts w:ascii="宋体" w:hAnsi="宋体" w:eastAsia="宋体" w:cs="宋体"/>
                <w:color w:val="auto"/>
              </w:rPr>
            </w:pPr>
            <w:r>
              <w:rPr>
                <w:rStyle w:val="38"/>
                <w:rFonts w:hint="eastAsia" w:ascii="宋体" w:hAnsi="宋体" w:eastAsia="宋体" w:cs="宋体"/>
                <w:color w:val="auto"/>
              </w:rPr>
              <w:t>i实习财务实习平台</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建立校内实习基地，内置覆盖多个岗位、多业务场景、多实例、多行业、多企业类型的企业真账，在学业最后阶段强化能力训练，快速对标市场需要，通过真账实战和分岗轮岗实习训练，进行专业素质强化，提升学生就业能力，达到助理会计和总账会计水平，具备“零距离”上岗工作能力，并拥有基于大数据的个人岗位能力分析报告。</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会计专业认知：了解企业背景/组织结构/规章制度/业务流程/认知凭证/职业判断；分主题实习：业务审核/业务处理/预算分析/内外报表/信息系统/综合培训/内控规范；涉及审核原始凭证/填写票据/编制凭证/登记账簿/报表/预算/分析/培训/内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5" w:type="dxa"/>
            <w:tcMar>
              <w:top w:w="0" w:type="dxa"/>
            </w:tcMar>
            <w:vAlign w:val="center"/>
          </w:tcPr>
          <w:p>
            <w:pPr>
              <w:autoSpaceDE w:val="0"/>
              <w:autoSpaceDN w:val="0"/>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5</w:t>
            </w:r>
          </w:p>
        </w:tc>
        <w:tc>
          <w:tcPr>
            <w:tcW w:w="568" w:type="dxa"/>
            <w:vMerge w:val="continue"/>
            <w:tcMar>
              <w:top w:w="0" w:type="dxa"/>
            </w:tcMar>
            <w:vAlign w:val="center"/>
          </w:tcPr>
          <w:p>
            <w:pPr>
              <w:autoSpaceDE w:val="0"/>
              <w:autoSpaceDN w:val="0"/>
              <w:adjustRightInd w:val="0"/>
              <w:snapToGrid w:val="0"/>
              <w:spacing w:line="260" w:lineRule="exact"/>
              <w:rPr>
                <w:rFonts w:ascii="宋体" w:hAnsi="宋体" w:eastAsia="宋体" w:cs="宋体"/>
                <w:sz w:val="18"/>
                <w:szCs w:val="18"/>
              </w:rPr>
            </w:pPr>
          </w:p>
        </w:tc>
        <w:tc>
          <w:tcPr>
            <w:tcW w:w="744" w:type="dxa"/>
            <w:tcMar>
              <w:top w:w="0" w:type="dxa"/>
              <w:left w:w="74" w:type="dxa"/>
              <w:right w:w="74" w:type="dxa"/>
            </w:tcMar>
            <w:vAlign w:val="center"/>
          </w:tcPr>
          <w:p>
            <w:pPr>
              <w:adjustRightInd w:val="0"/>
              <w:snapToGrid w:val="0"/>
              <w:spacing w:line="260" w:lineRule="exact"/>
              <w:jc w:val="center"/>
              <w:rPr>
                <w:rFonts w:ascii="宋体" w:hAnsi="宋体" w:eastAsia="宋体" w:cs="宋体"/>
                <w:sz w:val="18"/>
                <w:szCs w:val="18"/>
              </w:rPr>
            </w:pPr>
            <w:r>
              <w:rPr>
                <w:rFonts w:hint="eastAsia" w:ascii="宋体" w:hAnsi="宋体" w:eastAsia="宋体" w:cs="宋体"/>
                <w:sz w:val="18"/>
                <w:szCs w:val="18"/>
              </w:rPr>
              <w:t>约创平台（沙盘）</w:t>
            </w:r>
          </w:p>
        </w:tc>
        <w:tc>
          <w:tcPr>
            <w:tcW w:w="3869"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通过本课程的学习，使学生掌握企业模拟经营的相关技能，了解市场运作的基本知识，熟悉不同渠道销售的不同规则，具备独立模拟经营企业的能力。</w:t>
            </w:r>
          </w:p>
        </w:tc>
        <w:tc>
          <w:tcPr>
            <w:tcW w:w="3840" w:type="dxa"/>
            <w:tcMar>
              <w:top w:w="0" w:type="dxa"/>
              <w:left w:w="108" w:type="dxa"/>
              <w:bottom w:w="17" w:type="dxa"/>
              <w:right w:w="108" w:type="dxa"/>
            </w:tcMar>
            <w:vAlign w:val="center"/>
          </w:tcPr>
          <w:p>
            <w:pPr>
              <w:adjustRightInd w:val="0"/>
              <w:snapToGrid w:val="0"/>
              <w:spacing w:line="260" w:lineRule="exact"/>
              <w:rPr>
                <w:rFonts w:ascii="宋体" w:hAnsi="宋体" w:eastAsia="宋体" w:cs="宋体"/>
                <w:kern w:val="0"/>
                <w:sz w:val="18"/>
                <w:szCs w:val="18"/>
              </w:rPr>
            </w:pPr>
            <w:r>
              <w:rPr>
                <w:rFonts w:hint="eastAsia" w:ascii="宋体" w:hAnsi="宋体" w:eastAsia="宋体" w:cs="宋体"/>
                <w:kern w:val="0"/>
                <w:sz w:val="18"/>
                <w:szCs w:val="18"/>
              </w:rPr>
              <w:t>模拟企业团队成立（分组）、模拟企业成立；企业经营规则的设定；企业生产经营模拟演练；企业模拟经营业绩评价及总结。</w:t>
            </w:r>
          </w:p>
        </w:tc>
      </w:tr>
    </w:tbl>
    <w:p>
      <w:pPr>
        <w:pStyle w:val="2"/>
        <w:spacing w:before="0" w:after="0" w:line="312" w:lineRule="auto"/>
        <w:rPr>
          <w:rFonts w:ascii="黑体" w:hAnsi="黑体" w:eastAsia="黑体" w:cs="黑体"/>
          <w:b w:val="0"/>
          <w:bCs w:val="0"/>
          <w:sz w:val="28"/>
          <w:szCs w:val="28"/>
        </w:rPr>
      </w:pPr>
      <w:bookmarkStart w:id="7" w:name="_Toc23348"/>
      <w:r>
        <w:rPr>
          <w:rFonts w:hint="eastAsia" w:ascii="黑体" w:hAnsi="黑体" w:eastAsia="黑体" w:cs="黑体"/>
          <w:b w:val="0"/>
          <w:bCs w:val="0"/>
          <w:sz w:val="28"/>
          <w:szCs w:val="28"/>
        </w:rPr>
        <w:t>七、学时安排</w:t>
      </w:r>
      <w:bookmarkEnd w:id="7"/>
    </w:p>
    <w:p>
      <w:pPr>
        <w:adjustRightInd w:val="0"/>
        <w:snapToGrid w:val="0"/>
        <w:spacing w:line="312" w:lineRule="auto"/>
        <w:ind w:firstLine="480" w:firstLineChars="200"/>
        <w:jc w:val="left"/>
        <w:rPr>
          <w:rFonts w:ascii="宋体" w:hAnsi="宋体" w:eastAsia="宋体" w:cs="宋体"/>
          <w:color w:val="1A1A1A" w:themeColor="background1" w:themeShade="1A"/>
          <w:sz w:val="24"/>
          <w:szCs w:val="24"/>
        </w:rPr>
      </w:pPr>
      <w:r>
        <w:rPr>
          <w:rFonts w:hint="eastAsia" w:ascii="宋体" w:hAnsi="宋体" w:eastAsia="宋体" w:cs="宋体"/>
          <w:color w:val="1A1A1A" w:themeColor="background1" w:themeShade="1A"/>
          <w:sz w:val="24"/>
          <w:szCs w:val="24"/>
        </w:rPr>
        <w:t>（一）教学活动周进程安排表</w:t>
      </w:r>
    </w:p>
    <w:p>
      <w:pPr>
        <w:adjustRightInd w:val="0"/>
        <w:spacing w:line="312" w:lineRule="auto"/>
        <w:ind w:firstLine="420" w:firstLineChars="200"/>
        <w:jc w:val="center"/>
        <w:rPr>
          <w:rFonts w:ascii="宋体" w:hAnsi="宋体" w:eastAsia="宋体" w:cs="宋体"/>
          <w:szCs w:val="21"/>
        </w:rPr>
      </w:pPr>
      <w:r>
        <w:rPr>
          <w:rFonts w:hint="eastAsia" w:ascii="宋体" w:hAnsi="宋体" w:eastAsia="宋体" w:cs="宋体"/>
          <w:szCs w:val="21"/>
        </w:rPr>
        <w:t>表7-1  专业教学活动周进程安排表     单位：周</w:t>
      </w:r>
    </w:p>
    <w:tbl>
      <w:tblPr>
        <w:tblStyle w:val="16"/>
        <w:tblW w:w="9162" w:type="dxa"/>
        <w:tblInd w:w="-34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108" w:type="dxa"/>
          <w:bottom w:w="0" w:type="dxa"/>
          <w:right w:w="108" w:type="dxa"/>
        </w:tblCellMar>
      </w:tblPr>
      <w:tblGrid>
        <w:gridCol w:w="3406"/>
        <w:gridCol w:w="920"/>
        <w:gridCol w:w="739"/>
        <w:gridCol w:w="977"/>
        <w:gridCol w:w="803"/>
        <w:gridCol w:w="764"/>
        <w:gridCol w:w="640"/>
        <w:gridCol w:w="91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1104" w:hRule="atLeast"/>
        </w:trPr>
        <w:tc>
          <w:tcPr>
            <w:tcW w:w="1858" w:type="pct"/>
            <w:tcBorders>
              <w:top w:val="single" w:color="auto" w:sz="4" w:space="0"/>
              <w:left w:val="single" w:color="auto" w:sz="4" w:space="0"/>
              <w:bottom w:val="single" w:color="auto" w:sz="4" w:space="0"/>
              <w:right w:val="single" w:color="auto" w:sz="4" w:space="0"/>
              <w:tl2br w:val="single" w:color="000000" w:sz="6" w:space="0"/>
            </w:tcBorders>
            <w:vAlign w:val="center"/>
          </w:tcPr>
          <w:p>
            <w:pPr>
              <w:autoSpaceDE w:val="0"/>
              <w:autoSpaceDN w:val="0"/>
              <w:adjustRightInd w:val="0"/>
              <w:snapToGrid w:val="0"/>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分类学期           分类</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理实一体教学</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实践实训</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入学教育与军训</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顶岗实习</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考试</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机动</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合计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第一学期</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533" w:type="pct"/>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after="0"/>
              <w:ind w:left="0" w:leftChars="0" w:firstLine="0" w:firstLineChars="0"/>
              <w:jc w:val="center"/>
              <w:rPr>
                <w:rFonts w:ascii="宋体" w:hAnsi="宋体" w:eastAsia="宋体" w:cs="宋体"/>
                <w:bCs/>
                <w:sz w:val="18"/>
                <w:szCs w:val="18"/>
              </w:rPr>
            </w:pPr>
            <w:r>
              <w:rPr>
                <w:rFonts w:hint="eastAsia" w:ascii="宋体" w:hAnsi="宋体" w:eastAsia="宋体" w:cs="宋体"/>
                <w:bCs/>
                <w:color w:val="000000"/>
                <w:kern w:val="0"/>
                <w:sz w:val="18"/>
                <w:szCs w:val="18"/>
              </w:rPr>
              <w:t>2</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第二学期</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第三学期</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第四学期</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第五学期</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第六学期</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0</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85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总计</w:t>
            </w:r>
          </w:p>
        </w:tc>
        <w:tc>
          <w:tcPr>
            <w:tcW w:w="50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80</w:t>
            </w:r>
          </w:p>
        </w:tc>
        <w:tc>
          <w:tcPr>
            <w:tcW w:w="40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7</w:t>
            </w:r>
          </w:p>
        </w:tc>
        <w:tc>
          <w:tcPr>
            <w:tcW w:w="533"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2</w:t>
            </w:r>
          </w:p>
        </w:tc>
        <w:tc>
          <w:tcPr>
            <w:tcW w:w="43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16</w:t>
            </w:r>
          </w:p>
        </w:tc>
        <w:tc>
          <w:tcPr>
            <w:tcW w:w="417"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5</w:t>
            </w:r>
          </w:p>
        </w:tc>
        <w:tc>
          <w:tcPr>
            <w:tcW w:w="349"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7</w:t>
            </w:r>
          </w:p>
        </w:tc>
        <w:tc>
          <w:tcPr>
            <w:tcW w:w="498"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eastAsia="宋体" w:cs="宋体"/>
                <w:bCs/>
                <w:color w:val="000000"/>
                <w:kern w:val="0"/>
                <w:sz w:val="18"/>
                <w:szCs w:val="18"/>
              </w:rPr>
            </w:pPr>
            <w:r>
              <w:rPr>
                <w:rFonts w:hint="eastAsia" w:ascii="宋体" w:hAnsi="宋体" w:eastAsia="宋体" w:cs="宋体"/>
                <w:bCs/>
                <w:color w:val="000000"/>
                <w:kern w:val="0"/>
                <w:sz w:val="18"/>
                <w:szCs w:val="18"/>
              </w:rPr>
              <w:t>117</w:t>
            </w:r>
          </w:p>
        </w:tc>
      </w:tr>
    </w:tbl>
    <w:p>
      <w:pPr>
        <w:pStyle w:val="15"/>
        <w:ind w:firstLine="240" w:firstLineChars="100"/>
        <w:rPr>
          <w:rFonts w:ascii="宋体" w:hAnsi="宋体" w:eastAsia="宋体" w:cs="宋体"/>
          <w:color w:val="1A1A1A" w:themeColor="background1" w:themeShade="1A"/>
          <w:sz w:val="24"/>
          <w:szCs w:val="24"/>
        </w:rPr>
      </w:pPr>
      <w:r>
        <w:rPr>
          <w:rFonts w:hint="eastAsia" w:ascii="宋体" w:hAnsi="宋体" w:eastAsia="宋体" w:cs="宋体"/>
          <w:color w:val="1A1A1A" w:themeColor="background1" w:themeShade="1A"/>
          <w:sz w:val="24"/>
          <w:szCs w:val="24"/>
        </w:rPr>
        <w:t>（二）考试安排</w:t>
      </w:r>
    </w:p>
    <w:p>
      <w:pPr>
        <w:pStyle w:val="15"/>
        <w:ind w:firstLine="0" w:firstLineChars="0"/>
        <w:jc w:val="center"/>
        <w:rPr>
          <w:rFonts w:ascii="宋体" w:hAnsi="宋体" w:eastAsia="宋体" w:cs="宋体"/>
          <w:szCs w:val="21"/>
        </w:rPr>
      </w:pPr>
      <w:r>
        <w:rPr>
          <w:rFonts w:hint="eastAsia" w:ascii="宋体" w:hAnsi="宋体" w:eastAsia="宋体" w:cs="宋体"/>
          <w:szCs w:val="21"/>
        </w:rPr>
        <w:t>表7-2  证书考试进程安排表     单位：周</w:t>
      </w:r>
    </w:p>
    <w:tbl>
      <w:tblPr>
        <w:tblStyle w:val="17"/>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950"/>
        <w:gridCol w:w="1935"/>
        <w:gridCol w:w="3450"/>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Align w:val="center"/>
          </w:tcPr>
          <w:p>
            <w:pPr>
              <w:adjustRightInd w:val="0"/>
              <w:snapToGrid w:val="0"/>
              <w:rPr>
                <w:rFonts w:ascii="宋体" w:hAnsi="宋体" w:eastAsia="宋体" w:cs="宋体"/>
                <w:kern w:val="0"/>
                <w:sz w:val="18"/>
                <w:szCs w:val="18"/>
              </w:rPr>
            </w:pPr>
            <w:r>
              <w:rPr>
                <w:rFonts w:hint="eastAsia" w:ascii="宋体" w:hAnsi="宋体" w:eastAsia="宋体" w:cs="宋体"/>
                <w:kern w:val="0"/>
                <w:sz w:val="18"/>
                <w:szCs w:val="18"/>
              </w:rPr>
              <w:t>序号</w:t>
            </w:r>
          </w:p>
        </w:tc>
        <w:tc>
          <w:tcPr>
            <w:tcW w:w="19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职业资格证书</w:t>
            </w:r>
          </w:p>
        </w:tc>
        <w:tc>
          <w:tcPr>
            <w:tcW w:w="193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拟考学期</w:t>
            </w: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对应课程</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开设学期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restart"/>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950" w:type="dxa"/>
            <w:vMerge w:val="restart"/>
            <w:vAlign w:val="center"/>
          </w:tcPr>
          <w:p>
            <w:pPr>
              <w:adjustRightInd w:val="0"/>
              <w:snapToGrid w:val="0"/>
              <w:rPr>
                <w:rFonts w:ascii="宋体" w:hAnsi="宋体" w:eastAsia="宋体" w:cs="宋体"/>
                <w:kern w:val="0"/>
                <w:sz w:val="18"/>
                <w:szCs w:val="18"/>
              </w:rPr>
            </w:pPr>
            <w:r>
              <w:rPr>
                <w:rFonts w:hint="eastAsia" w:ascii="宋体" w:hAnsi="宋体" w:eastAsia="宋体" w:cs="宋体"/>
                <w:spacing w:val="-4"/>
                <w:sz w:val="18"/>
                <w:szCs w:val="18"/>
              </w:rPr>
              <w:t>初级会计专业技术资格证书</w:t>
            </w:r>
          </w:p>
        </w:tc>
        <w:tc>
          <w:tcPr>
            <w:tcW w:w="1935" w:type="dxa"/>
            <w:vMerge w:val="restart"/>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spacing w:val="-4"/>
                <w:sz w:val="18"/>
                <w:szCs w:val="18"/>
              </w:rPr>
              <w:t>第四学期</w:t>
            </w: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基础会计</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spacing w:val="-4"/>
                <w:sz w:val="18"/>
                <w:szCs w:val="18"/>
              </w:rPr>
            </w:pPr>
          </w:p>
        </w:tc>
        <w:tc>
          <w:tcPr>
            <w:tcW w:w="1935" w:type="dxa"/>
            <w:vMerge w:val="continue"/>
            <w:vAlign w:val="center"/>
          </w:tcPr>
          <w:p>
            <w:pPr>
              <w:adjustRightInd w:val="0"/>
              <w:snapToGrid w:val="0"/>
              <w:jc w:val="center"/>
              <w:rPr>
                <w:rFonts w:ascii="宋体" w:hAnsi="宋体" w:eastAsia="宋体" w:cs="宋体"/>
                <w:spacing w:val="-4"/>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财务会计</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经济法</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纳税实务</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restart"/>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950" w:type="dxa"/>
            <w:vMerge w:val="restart"/>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业财一体化应用等级证书</w:t>
            </w:r>
          </w:p>
        </w:tc>
        <w:tc>
          <w:tcPr>
            <w:tcW w:w="1935" w:type="dxa"/>
            <w:vMerge w:val="restart"/>
            <w:vAlign w:val="center"/>
          </w:tcPr>
          <w:p>
            <w:pPr>
              <w:adjustRightInd w:val="0"/>
              <w:snapToGrid w:val="0"/>
              <w:jc w:val="center"/>
              <w:rPr>
                <w:rFonts w:ascii="宋体" w:hAnsi="宋体" w:eastAsia="宋体" w:cs="宋体"/>
                <w:spacing w:val="-4"/>
                <w:sz w:val="18"/>
                <w:szCs w:val="18"/>
              </w:rPr>
            </w:pPr>
            <w:r>
              <w:rPr>
                <w:rFonts w:hint="eastAsia" w:ascii="宋体" w:hAnsi="宋体" w:eastAsia="宋体" w:cs="宋体"/>
                <w:spacing w:val="-4"/>
                <w:sz w:val="18"/>
                <w:szCs w:val="18"/>
              </w:rPr>
              <w:t>第四学期</w:t>
            </w:r>
          </w:p>
          <w:p>
            <w:pPr>
              <w:adjustRightInd w:val="0"/>
              <w:snapToGrid w:val="0"/>
              <w:jc w:val="center"/>
              <w:rPr>
                <w:rFonts w:ascii="宋体" w:hAnsi="宋体" w:eastAsia="宋体" w:cs="宋体"/>
                <w:sz w:val="18"/>
                <w:szCs w:val="18"/>
              </w:rPr>
            </w:pPr>
            <w:r>
              <w:rPr>
                <w:rFonts w:hint="eastAsia" w:ascii="宋体" w:hAnsi="宋体" w:eastAsia="宋体" w:cs="宋体"/>
                <w:spacing w:val="-4"/>
                <w:sz w:val="18"/>
                <w:szCs w:val="18"/>
              </w:rPr>
              <w:t>第五学期</w:t>
            </w: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基础会计</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财务会计</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纳税实务</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业财一体信息化信用</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color w:val="000000"/>
                <w:kern w:val="0"/>
                <w:sz w:val="18"/>
                <w:szCs w:val="18"/>
              </w:rPr>
              <w:t>ERP财务应用（财务链与供应链）</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vMerge w:val="continue"/>
            <w:vAlign w:val="center"/>
          </w:tcPr>
          <w:p>
            <w:pPr>
              <w:adjustRightInd w:val="0"/>
              <w:snapToGrid w:val="0"/>
              <w:jc w:val="center"/>
              <w:rPr>
                <w:rFonts w:ascii="宋体" w:hAnsi="宋体" w:eastAsia="宋体" w:cs="宋体"/>
                <w:kern w:val="0"/>
                <w:sz w:val="18"/>
                <w:szCs w:val="18"/>
              </w:rPr>
            </w:pPr>
          </w:p>
        </w:tc>
        <w:tc>
          <w:tcPr>
            <w:tcW w:w="1950" w:type="dxa"/>
            <w:vMerge w:val="continue"/>
            <w:vAlign w:val="center"/>
          </w:tcPr>
          <w:p>
            <w:pPr>
              <w:adjustRightInd w:val="0"/>
              <w:snapToGrid w:val="0"/>
              <w:jc w:val="center"/>
              <w:rPr>
                <w:rFonts w:ascii="宋体" w:hAnsi="宋体" w:eastAsia="宋体" w:cs="宋体"/>
                <w:kern w:val="0"/>
                <w:sz w:val="18"/>
                <w:szCs w:val="18"/>
              </w:rPr>
            </w:pPr>
          </w:p>
        </w:tc>
        <w:tc>
          <w:tcPr>
            <w:tcW w:w="1935" w:type="dxa"/>
            <w:vMerge w:val="continue"/>
            <w:vAlign w:val="center"/>
          </w:tcPr>
          <w:p>
            <w:pPr>
              <w:adjustRightInd w:val="0"/>
              <w:snapToGrid w:val="0"/>
              <w:jc w:val="center"/>
              <w:rPr>
                <w:rFonts w:ascii="宋体" w:hAnsi="宋体" w:eastAsia="宋体" w:cs="宋体"/>
                <w:kern w:val="0"/>
                <w:sz w:val="18"/>
                <w:szCs w:val="18"/>
              </w:rPr>
            </w:pP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财务管理</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687"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9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计算机等级证书</w:t>
            </w:r>
          </w:p>
        </w:tc>
        <w:tc>
          <w:tcPr>
            <w:tcW w:w="193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第三、四、五学期</w:t>
            </w:r>
          </w:p>
        </w:tc>
        <w:tc>
          <w:tcPr>
            <w:tcW w:w="3450"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计算机</w:t>
            </w:r>
          </w:p>
        </w:tc>
        <w:tc>
          <w:tcPr>
            <w:tcW w:w="1195" w:type="dxa"/>
            <w:vAlign w:val="center"/>
          </w:tcPr>
          <w:p>
            <w:pPr>
              <w:adjustRightInd w:val="0"/>
              <w:snapToGrid w:val="0"/>
              <w:jc w:val="center"/>
              <w:rPr>
                <w:rFonts w:ascii="宋体" w:hAnsi="宋体" w:eastAsia="宋体" w:cs="宋体"/>
                <w:kern w:val="0"/>
                <w:sz w:val="18"/>
                <w:szCs w:val="18"/>
              </w:rPr>
            </w:pPr>
            <w:r>
              <w:rPr>
                <w:rFonts w:hint="eastAsia" w:ascii="宋体" w:hAnsi="宋体" w:eastAsia="宋体" w:cs="宋体"/>
                <w:kern w:val="0"/>
                <w:sz w:val="18"/>
                <w:szCs w:val="18"/>
              </w:rPr>
              <w:t>1、2</w:t>
            </w:r>
          </w:p>
        </w:tc>
      </w:tr>
    </w:tbl>
    <w:p>
      <w:pPr>
        <w:pStyle w:val="2"/>
        <w:spacing w:before="0" w:after="0" w:line="312" w:lineRule="auto"/>
        <w:ind w:firstLine="560" w:firstLineChars="200"/>
        <w:rPr>
          <w:rFonts w:ascii="黑体" w:hAnsi="黑体" w:eastAsia="黑体" w:cs="黑体"/>
          <w:b w:val="0"/>
          <w:bCs w:val="0"/>
          <w:sz w:val="28"/>
          <w:szCs w:val="28"/>
        </w:rPr>
      </w:pPr>
      <w:bookmarkStart w:id="8" w:name="_Toc20585"/>
      <w:r>
        <w:rPr>
          <w:rFonts w:hint="eastAsia" w:ascii="黑体" w:hAnsi="黑体" w:eastAsia="黑体" w:cs="黑体"/>
          <w:b w:val="0"/>
          <w:bCs w:val="0"/>
          <w:sz w:val="28"/>
          <w:szCs w:val="28"/>
        </w:rPr>
        <w:t>八、教学进程总体安排</w:t>
      </w:r>
      <w:bookmarkEnd w:id="8"/>
    </w:p>
    <w:p>
      <w:pPr>
        <w:pStyle w:val="15"/>
        <w:jc w:val="center"/>
        <w:rPr>
          <w:rFonts w:ascii="宋体" w:hAnsi="宋体" w:eastAsia="宋体" w:cs="宋体"/>
          <w:sz w:val="18"/>
          <w:szCs w:val="18"/>
        </w:rPr>
      </w:pPr>
      <w:bookmarkStart w:id="9" w:name="_Toc22718"/>
      <w:r>
        <w:rPr>
          <w:rFonts w:hint="eastAsia" w:ascii="宋体" w:hAnsi="宋体" w:eastAsia="宋体" w:cs="宋体"/>
          <w:szCs w:val="21"/>
        </w:rPr>
        <w:t xml:space="preserve">表8-1  </w:t>
      </w:r>
      <w:r>
        <w:rPr>
          <w:rFonts w:hint="eastAsia" w:ascii="宋体" w:hAnsi="宋体" w:eastAsia="宋体" w:cs="宋体"/>
          <w:color w:val="000000"/>
          <w:kern w:val="0"/>
          <w:szCs w:val="21"/>
        </w:rPr>
        <w:t>专业必修课及选修课教学进程安排表</w:t>
      </w:r>
      <w:bookmarkEnd w:id="9"/>
    </w:p>
    <w:tbl>
      <w:tblPr>
        <w:tblStyle w:val="16"/>
        <w:tblW w:w="5538" w:type="pct"/>
        <w:tblInd w:w="-4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1"/>
        <w:gridCol w:w="408"/>
        <w:gridCol w:w="9"/>
        <w:gridCol w:w="13"/>
        <w:gridCol w:w="1108"/>
        <w:gridCol w:w="11"/>
        <w:gridCol w:w="6"/>
        <w:gridCol w:w="1269"/>
        <w:gridCol w:w="565"/>
        <w:gridCol w:w="690"/>
        <w:gridCol w:w="13"/>
        <w:gridCol w:w="548"/>
        <w:gridCol w:w="17"/>
        <w:gridCol w:w="548"/>
        <w:gridCol w:w="6"/>
        <w:gridCol w:w="17"/>
        <w:gridCol w:w="541"/>
        <w:gridCol w:w="7"/>
        <w:gridCol w:w="15"/>
        <w:gridCol w:w="404"/>
        <w:gridCol w:w="18"/>
        <w:gridCol w:w="405"/>
        <w:gridCol w:w="18"/>
        <w:gridCol w:w="404"/>
        <w:gridCol w:w="20"/>
        <w:gridCol w:w="396"/>
        <w:gridCol w:w="28"/>
        <w:gridCol w:w="402"/>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16" w:type="pct"/>
            <w:vMerge w:val="restart"/>
            <w:shd w:val="clear" w:color="auto" w:fill="auto"/>
            <w:tcMar>
              <w:top w:w="15" w:type="dxa"/>
              <w:left w:w="15" w:type="dxa"/>
              <w:right w:w="15" w:type="dxa"/>
            </w:tcMar>
            <w:vAlign w:val="center"/>
          </w:tcPr>
          <w:p>
            <w:pPr>
              <w:widowControl/>
              <w:spacing w:line="240" w:lineRule="exact"/>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课程类别</w:t>
            </w:r>
          </w:p>
        </w:tc>
        <w:tc>
          <w:tcPr>
            <w:tcW w:w="234"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序号</w:t>
            </w:r>
          </w:p>
        </w:tc>
        <w:tc>
          <w:tcPr>
            <w:tcW w:w="613"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课程编码</w:t>
            </w:r>
          </w:p>
        </w:tc>
        <w:tc>
          <w:tcPr>
            <w:tcW w:w="690"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课程名称</w:t>
            </w:r>
          </w:p>
        </w:tc>
        <w:tc>
          <w:tcPr>
            <w:tcW w:w="308"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学分</w:t>
            </w:r>
          </w:p>
        </w:tc>
        <w:tc>
          <w:tcPr>
            <w:tcW w:w="990" w:type="pct"/>
            <w:gridSpan w:val="5"/>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课程学时分配</w:t>
            </w:r>
          </w:p>
        </w:tc>
        <w:tc>
          <w:tcPr>
            <w:tcW w:w="1460" w:type="pct"/>
            <w:gridSpan w:val="14"/>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开课学期、课时数</w:t>
            </w:r>
          </w:p>
        </w:tc>
        <w:tc>
          <w:tcPr>
            <w:tcW w:w="384"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16"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34" w:type="pct"/>
            <w:gridSpan w:val="3"/>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13" w:type="pct"/>
            <w:gridSpan w:val="3"/>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90"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308"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990" w:type="pct"/>
            <w:gridSpan w:val="5"/>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460" w:type="pct"/>
            <w:gridSpan w:val="14"/>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38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234" w:type="pct"/>
            <w:gridSpan w:val="3"/>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13" w:type="pct"/>
            <w:gridSpan w:val="3"/>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690"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308"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总计</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课堂教学</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实践教学</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384" w:type="pct"/>
            <w:vMerge w:val="continue"/>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基础课</w:t>
            </w: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10010101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思想道德与法治</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48</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40</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48</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10010201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毛泽东思想和中国特色社会主义理论体系概论</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64</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56</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64</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10010301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形势与政策</w:t>
            </w:r>
          </w:p>
        </w:tc>
        <w:tc>
          <w:tcPr>
            <w:tcW w:w="308" w:type="pct"/>
            <w:shd w:val="clear" w:color="auto" w:fill="auto"/>
            <w:tcMar>
              <w:top w:w="15" w:type="dxa"/>
              <w:left w:w="15" w:type="dxa"/>
              <w:right w:w="15" w:type="dxa"/>
            </w:tcMa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383" w:type="pct"/>
            <w:gridSpan w:val="2"/>
            <w:shd w:val="clear" w:color="auto" w:fill="auto"/>
            <w:tcMar>
              <w:top w:w="15" w:type="dxa"/>
              <w:left w:w="15" w:type="dxa"/>
              <w:right w:w="15" w:type="dxa"/>
            </w:tcMa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0</w:t>
            </w:r>
          </w:p>
        </w:tc>
        <w:tc>
          <w:tcPr>
            <w:tcW w:w="308" w:type="pct"/>
            <w:gridSpan w:val="2"/>
            <w:shd w:val="clear" w:color="auto" w:fill="auto"/>
            <w:tcMar>
              <w:top w:w="15" w:type="dxa"/>
              <w:left w:w="15" w:type="dxa"/>
              <w:right w:w="15" w:type="dxa"/>
            </w:tcMa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298" w:type="pct"/>
            <w:shd w:val="clear" w:color="auto" w:fill="auto"/>
            <w:tcMar>
              <w:top w:w="15" w:type="dxa"/>
              <w:left w:w="15" w:type="dxa"/>
              <w:right w:w="15" w:type="dxa"/>
            </w:tcMar>
          </w:tcPr>
          <w:p>
            <w:pPr>
              <w:jc w:val="center"/>
              <w:rPr>
                <w:rFonts w:hint="eastAsia" w:ascii="宋体" w:hAnsi="宋体" w:eastAsia="宋体" w:cs="宋体"/>
                <w:sz w:val="18"/>
                <w:szCs w:val="18"/>
                <w:lang w:eastAsia="zh-CN"/>
              </w:rPr>
            </w:pP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color w:val="FF0000"/>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10010401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军事理论</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2</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10010501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体育与健康</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7</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112</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36</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76</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10010601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大学生心理健康教育</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2</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10010701</w:t>
            </w:r>
          </w:p>
        </w:tc>
        <w:tc>
          <w:tcPr>
            <w:tcW w:w="690" w:type="pct"/>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大学生职业发展与创新创业教育</w:t>
            </w:r>
          </w:p>
        </w:tc>
        <w:tc>
          <w:tcPr>
            <w:tcW w:w="308" w:type="pct"/>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2</w:t>
            </w:r>
          </w:p>
        </w:tc>
        <w:tc>
          <w:tcPr>
            <w:tcW w:w="383" w:type="pct"/>
            <w:gridSpan w:val="2"/>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308" w:type="pct"/>
            <w:gridSpan w:val="2"/>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24</w:t>
            </w:r>
          </w:p>
        </w:tc>
        <w:tc>
          <w:tcPr>
            <w:tcW w:w="298" w:type="pct"/>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319" w:type="pct"/>
            <w:gridSpan w:val="5"/>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0" w:type="pct"/>
            <w:gridSpan w:val="2"/>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noWrap/>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10010801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禁毒与预防艾滋病专题</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231" w:type="pct"/>
            <w:gridSpan w:val="2"/>
            <w:shd w:val="clear" w:color="auto" w:fill="auto"/>
            <w:noWrap/>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noWrap/>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10010901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大学英语</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64</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48</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10011001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大学语文</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64</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56</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8</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10011101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计算机应用基础</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64</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32</w:t>
            </w: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10011201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民族教育专题</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12</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noWrap/>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10011301</w:t>
            </w:r>
          </w:p>
        </w:tc>
        <w:tc>
          <w:tcPr>
            <w:tcW w:w="690"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中华传统优秀文化专题</w:t>
            </w:r>
          </w:p>
        </w:tc>
        <w:tc>
          <w:tcPr>
            <w:tcW w:w="30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w:t>
            </w:r>
          </w:p>
        </w:tc>
        <w:tc>
          <w:tcPr>
            <w:tcW w:w="383"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308" w:type="pct"/>
            <w:gridSpan w:val="2"/>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12</w:t>
            </w:r>
          </w:p>
        </w:tc>
        <w:tc>
          <w:tcPr>
            <w:tcW w:w="298" w:type="pct"/>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4</w:t>
            </w:r>
          </w:p>
        </w:tc>
        <w:tc>
          <w:tcPr>
            <w:tcW w:w="319" w:type="pct"/>
            <w:gridSpan w:val="5"/>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16</w:t>
            </w:r>
          </w:p>
        </w:tc>
        <w:tc>
          <w:tcPr>
            <w:tcW w:w="230"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noWrap/>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31" w:type="pct"/>
            <w:gridSpan w:val="2"/>
            <w:shd w:val="clear" w:color="auto" w:fill="auto"/>
            <w:tcMar>
              <w:top w:w="15" w:type="dxa"/>
              <w:left w:w="15" w:type="dxa"/>
              <w:right w:w="15" w:type="dxa"/>
            </w:tcMar>
          </w:tcPr>
          <w:p>
            <w:pPr>
              <w:jc w:val="center"/>
              <w:rPr>
                <w:rFonts w:ascii="宋体" w:hAnsi="宋体" w:eastAsia="宋体" w:cs="宋体"/>
                <w:sz w:val="18"/>
                <w:szCs w:val="18"/>
              </w:rPr>
            </w:pPr>
          </w:p>
        </w:tc>
        <w:tc>
          <w:tcPr>
            <w:tcW w:w="216" w:type="pct"/>
            <w:shd w:val="clear" w:color="auto" w:fill="auto"/>
            <w:tcMar>
              <w:top w:w="15" w:type="dxa"/>
              <w:left w:w="15" w:type="dxa"/>
              <w:right w:w="15" w:type="dxa"/>
            </w:tcMar>
          </w:tcPr>
          <w:p>
            <w:pPr>
              <w:jc w:val="center"/>
              <w:rPr>
                <w:rFonts w:ascii="宋体" w:hAnsi="宋体" w:eastAsia="宋体" w:cs="宋体"/>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10011401</w:t>
            </w:r>
          </w:p>
        </w:tc>
        <w:tc>
          <w:tcPr>
            <w:tcW w:w="690"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国家安全教育</w:t>
            </w:r>
          </w:p>
        </w:tc>
        <w:tc>
          <w:tcPr>
            <w:tcW w:w="308"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30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298"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19" w:type="pct"/>
            <w:gridSpan w:val="5"/>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10011501</w:t>
            </w:r>
          </w:p>
        </w:tc>
        <w:tc>
          <w:tcPr>
            <w:tcW w:w="690"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劳动专题教育</w:t>
            </w:r>
          </w:p>
        </w:tc>
        <w:tc>
          <w:tcPr>
            <w:tcW w:w="308"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30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298"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319" w:type="pct"/>
            <w:gridSpan w:val="5"/>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10011601</w:t>
            </w:r>
          </w:p>
        </w:tc>
        <w:tc>
          <w:tcPr>
            <w:tcW w:w="690"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军事技能</w:t>
            </w:r>
          </w:p>
        </w:tc>
        <w:tc>
          <w:tcPr>
            <w:tcW w:w="308" w:type="pct"/>
            <w:shd w:val="clear" w:color="auto" w:fill="auto"/>
            <w:tcMar>
              <w:top w:w="15" w:type="dxa"/>
              <w:left w:w="15" w:type="dxa"/>
              <w:right w:w="15" w:type="dxa"/>
            </w:tcMar>
          </w:tcPr>
          <w:p>
            <w:pPr>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w:t>
            </w:r>
          </w:p>
        </w:tc>
        <w:tc>
          <w:tcPr>
            <w:tcW w:w="383" w:type="pct"/>
            <w:gridSpan w:val="2"/>
            <w:shd w:val="clear" w:color="auto" w:fill="auto"/>
            <w:tcMar>
              <w:top w:w="15" w:type="dxa"/>
              <w:left w:w="15" w:type="dxa"/>
              <w:right w:w="15" w:type="dxa"/>
            </w:tcMa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112</w:t>
            </w:r>
          </w:p>
        </w:tc>
        <w:tc>
          <w:tcPr>
            <w:tcW w:w="30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98" w:type="pct"/>
            <w:shd w:val="clear" w:color="auto" w:fill="auto"/>
            <w:tcMar>
              <w:top w:w="15" w:type="dxa"/>
              <w:left w:w="15" w:type="dxa"/>
              <w:right w:w="15" w:type="dxa"/>
            </w:tcMa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112</w:t>
            </w:r>
          </w:p>
        </w:tc>
        <w:tc>
          <w:tcPr>
            <w:tcW w:w="319" w:type="pct"/>
            <w:gridSpan w:val="5"/>
            <w:shd w:val="clear" w:color="auto" w:fill="auto"/>
            <w:tcMar>
              <w:top w:w="15" w:type="dxa"/>
              <w:left w:w="15" w:type="dxa"/>
              <w:right w:w="15" w:type="dxa"/>
            </w:tcMa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112</w:t>
            </w: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613" w:type="pct"/>
            <w:gridSpan w:val="3"/>
            <w:shd w:val="clear" w:color="auto" w:fill="auto"/>
            <w:tcMar>
              <w:top w:w="15" w:type="dxa"/>
              <w:left w:w="15" w:type="dxa"/>
              <w:right w:w="15" w:type="dxa"/>
            </w:tcMar>
          </w:tcPr>
          <w:p>
            <w:pPr>
              <w:jc w:val="center"/>
              <w:rPr>
                <w:rFonts w:ascii="宋体" w:hAnsi="宋体" w:eastAsia="宋体" w:cs="宋体"/>
                <w:sz w:val="18"/>
                <w:szCs w:val="18"/>
              </w:rPr>
            </w:pPr>
            <w:r>
              <w:rPr>
                <w:rFonts w:hint="eastAsia" w:ascii="宋体" w:hAnsi="宋体" w:eastAsia="宋体" w:cs="宋体"/>
                <w:sz w:val="18"/>
                <w:szCs w:val="18"/>
              </w:rPr>
              <w:t>10011701</w:t>
            </w:r>
          </w:p>
        </w:tc>
        <w:tc>
          <w:tcPr>
            <w:tcW w:w="690"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入学教育</w:t>
            </w:r>
          </w:p>
        </w:tc>
        <w:tc>
          <w:tcPr>
            <w:tcW w:w="308"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30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319" w:type="pct"/>
            <w:gridSpan w:val="5"/>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小计</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383"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672</w:t>
            </w:r>
          </w:p>
        </w:tc>
        <w:tc>
          <w:tcPr>
            <w:tcW w:w="308"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444</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228</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284</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264</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56</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44</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16</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基础课</w:t>
            </w: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w:t>
            </w:r>
          </w:p>
        </w:tc>
        <w:tc>
          <w:tcPr>
            <w:tcW w:w="613"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20510105</w:t>
            </w:r>
          </w:p>
        </w:tc>
        <w:tc>
          <w:tcPr>
            <w:tcW w:w="690"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基础会计</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66</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30</w:t>
            </w:r>
          </w:p>
        </w:tc>
        <w:tc>
          <w:tcPr>
            <w:tcW w:w="319" w:type="pct"/>
            <w:gridSpan w:val="5"/>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613"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20510205</w:t>
            </w:r>
          </w:p>
        </w:tc>
        <w:tc>
          <w:tcPr>
            <w:tcW w:w="690"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经济法基础</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54</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319" w:type="pct"/>
            <w:gridSpan w:val="5"/>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w:t>
            </w:r>
          </w:p>
        </w:tc>
        <w:tc>
          <w:tcPr>
            <w:tcW w:w="613"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20510305</w:t>
            </w:r>
          </w:p>
        </w:tc>
        <w:tc>
          <w:tcPr>
            <w:tcW w:w="690"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经济数学</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319" w:type="pct"/>
            <w:gridSpan w:val="5"/>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4</w:t>
            </w:r>
          </w:p>
        </w:tc>
        <w:tc>
          <w:tcPr>
            <w:tcW w:w="613"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20510405</w:t>
            </w:r>
          </w:p>
        </w:tc>
        <w:tc>
          <w:tcPr>
            <w:tcW w:w="690"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经济学基础</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613"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20510505</w:t>
            </w:r>
          </w:p>
        </w:tc>
        <w:tc>
          <w:tcPr>
            <w:tcW w:w="690"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管理学原理</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noWrap/>
            <w:tcMar>
              <w:top w:w="15" w:type="dxa"/>
              <w:left w:w="15" w:type="dxa"/>
              <w:right w:w="15" w:type="dxa"/>
            </w:tcMar>
            <w:vAlign w:val="center"/>
          </w:tcPr>
          <w:p>
            <w:pP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小计</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288</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228</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224</w:t>
            </w: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核心课</w:t>
            </w: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6</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20510605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财务会计</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160</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140</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7</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20510705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成本核算与管理</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8</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20510805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纳税实务</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44</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noWrap/>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20510905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财务管理</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54</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20511005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管理会计</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noWrap/>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11</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30511105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业财一体信息化应用</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14</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noWrap/>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12</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20511205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ERP财务应用（财务链与供应链）</w:t>
            </w:r>
          </w:p>
        </w:tc>
        <w:tc>
          <w:tcPr>
            <w:tcW w:w="308" w:type="pct"/>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14</w:t>
            </w:r>
          </w:p>
        </w:tc>
        <w:tc>
          <w:tcPr>
            <w:tcW w:w="298" w:type="pct"/>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50</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FF0000"/>
                <w:sz w:val="18"/>
                <w:szCs w:val="18"/>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r>
              <w:rPr>
                <w:rFonts w:hint="eastAsia" w:ascii="宋体" w:hAnsi="宋体" w:eastAsia="宋体" w:cs="宋体"/>
                <w:color w:val="FF0000"/>
                <w:sz w:val="18"/>
                <w:szCs w:val="18"/>
              </w:rPr>
              <w:t>64</w:t>
            </w: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FF0000"/>
                <w:sz w:val="18"/>
                <w:szCs w:val="18"/>
              </w:rPr>
            </w:pPr>
          </w:p>
        </w:tc>
        <w:tc>
          <w:tcPr>
            <w:tcW w:w="216" w:type="pct"/>
            <w:shd w:val="clear" w:color="auto" w:fill="auto"/>
            <w:tcMar>
              <w:top w:w="15" w:type="dxa"/>
              <w:left w:w="15" w:type="dxa"/>
              <w:right w:w="15" w:type="dxa"/>
            </w:tcMar>
            <w:vAlign w:val="center"/>
          </w:tcPr>
          <w:p>
            <w:pPr>
              <w:jc w:val="center"/>
              <w:rPr>
                <w:rFonts w:ascii="宋体" w:hAnsi="宋体" w:eastAsia="宋体" w:cs="宋体"/>
                <w:color w:val="FF0000"/>
                <w:sz w:val="18"/>
                <w:szCs w:val="18"/>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34" w:type="pct"/>
            <w:gridSpan w:val="3"/>
            <w:shd w:val="clear" w:color="auto" w:fill="auto"/>
            <w:noWrap/>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13</w:t>
            </w:r>
          </w:p>
        </w:tc>
        <w:tc>
          <w:tcPr>
            <w:tcW w:w="610" w:type="pct"/>
            <w:gridSpan w:val="2"/>
            <w:shd w:val="clear" w:color="auto" w:fill="auto"/>
            <w:tcMar>
              <w:top w:w="15" w:type="dxa"/>
              <w:left w:w="15" w:type="dxa"/>
              <w:right w:w="15" w:type="dxa"/>
            </w:tcMar>
            <w:vAlign w:val="center"/>
          </w:tcPr>
          <w:p>
            <w:pPr>
              <w:jc w:val="center"/>
              <w:rPr>
                <w:rFonts w:ascii="宋体" w:hAnsi="宋体" w:eastAsia="宋体" w:cs="宋体"/>
                <w:color w:val="000000"/>
                <w:sz w:val="18"/>
                <w:szCs w:val="18"/>
              </w:rPr>
            </w:pPr>
            <w:r>
              <w:rPr>
                <w:rFonts w:hint="eastAsia" w:ascii="宋体" w:hAnsi="宋体" w:eastAsia="宋体" w:cs="宋体"/>
                <w:color w:val="000000"/>
                <w:sz w:val="18"/>
                <w:szCs w:val="18"/>
              </w:rPr>
              <w:t>20511305</w:t>
            </w:r>
          </w:p>
        </w:tc>
        <w:tc>
          <w:tcPr>
            <w:tcW w:w="694"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大数据财务分析</w:t>
            </w:r>
          </w:p>
        </w:tc>
        <w:tc>
          <w:tcPr>
            <w:tcW w:w="30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83"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308"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298"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19" w:type="pct"/>
            <w:gridSpan w:val="5"/>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16" w:type="pct"/>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小计</w:t>
            </w:r>
          </w:p>
        </w:tc>
        <w:tc>
          <w:tcPr>
            <w:tcW w:w="308" w:type="pct"/>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36</w:t>
            </w:r>
          </w:p>
        </w:tc>
        <w:tc>
          <w:tcPr>
            <w:tcW w:w="383"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576</w:t>
            </w:r>
          </w:p>
        </w:tc>
        <w:tc>
          <w:tcPr>
            <w:tcW w:w="308"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352</w:t>
            </w:r>
          </w:p>
        </w:tc>
        <w:tc>
          <w:tcPr>
            <w:tcW w:w="298" w:type="pct"/>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224</w:t>
            </w:r>
          </w:p>
        </w:tc>
        <w:tc>
          <w:tcPr>
            <w:tcW w:w="319" w:type="pct"/>
            <w:gridSpan w:val="5"/>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230"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128</w:t>
            </w: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160</w:t>
            </w: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128</w:t>
            </w:r>
          </w:p>
        </w:tc>
        <w:tc>
          <w:tcPr>
            <w:tcW w:w="231" w:type="pct"/>
            <w:gridSpan w:val="2"/>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96</w:t>
            </w:r>
          </w:p>
        </w:tc>
        <w:tc>
          <w:tcPr>
            <w:tcW w:w="216" w:type="pct"/>
            <w:shd w:val="clear" w:color="auto" w:fill="auto"/>
            <w:noWrap/>
            <w:tcMar>
              <w:top w:w="15" w:type="dxa"/>
              <w:left w:w="15" w:type="dxa"/>
              <w:right w:w="15"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拓展课</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（包括专业必修和选修）</w:t>
            </w: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20511405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行业会计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38</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20511505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市场营销基础</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38</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20511605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审计实务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40</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小计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9</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144</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116</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28</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96</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20520105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会计制度设计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20520205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证券基础</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20520305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风险管理</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20520405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资产评估实务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20520505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个人理财</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20520605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税收筹划</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20520705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内部控制实务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20520805</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数据思维</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25</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小计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100</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28</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合计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17</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272</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216</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56</w:t>
            </w:r>
          </w:p>
        </w:tc>
        <w:tc>
          <w:tcPr>
            <w:tcW w:w="319"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80</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128</w:t>
            </w:r>
          </w:p>
        </w:tc>
        <w:tc>
          <w:tcPr>
            <w:tcW w:w="2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公共实践课</w:t>
            </w:r>
          </w:p>
        </w:tc>
        <w:tc>
          <w:tcPr>
            <w:tcW w:w="227"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序号</w:t>
            </w:r>
          </w:p>
        </w:tc>
        <w:tc>
          <w:tcPr>
            <w:tcW w:w="616"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课程编码</w:t>
            </w:r>
          </w:p>
        </w:tc>
        <w:tc>
          <w:tcPr>
            <w:tcW w:w="694"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课程名称</w:t>
            </w:r>
          </w:p>
        </w:tc>
        <w:tc>
          <w:tcPr>
            <w:tcW w:w="308"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学分</w:t>
            </w:r>
          </w:p>
        </w:tc>
        <w:tc>
          <w:tcPr>
            <w:tcW w:w="990" w:type="pct"/>
            <w:gridSpan w:val="5"/>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学时</w:t>
            </w:r>
          </w:p>
        </w:tc>
        <w:tc>
          <w:tcPr>
            <w:tcW w:w="1460" w:type="pct"/>
            <w:gridSpan w:val="14"/>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开设学期、学时数</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616"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694"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8"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3"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总学时</w:t>
            </w:r>
          </w:p>
        </w:tc>
        <w:tc>
          <w:tcPr>
            <w:tcW w:w="308"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理论</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学时</w:t>
            </w:r>
          </w:p>
        </w:tc>
        <w:tc>
          <w:tcPr>
            <w:tcW w:w="302"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实践</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学时</w:t>
            </w:r>
          </w:p>
        </w:tc>
        <w:tc>
          <w:tcPr>
            <w:tcW w:w="308"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w:t>
            </w:r>
          </w:p>
        </w:tc>
        <w:tc>
          <w:tcPr>
            <w:tcW w:w="228"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231"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w:t>
            </w:r>
          </w:p>
        </w:tc>
        <w:tc>
          <w:tcPr>
            <w:tcW w:w="230"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w:t>
            </w:r>
          </w:p>
        </w:tc>
        <w:tc>
          <w:tcPr>
            <w:tcW w:w="227"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w:t>
            </w:r>
          </w:p>
        </w:tc>
        <w:tc>
          <w:tcPr>
            <w:tcW w:w="231"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w:t>
            </w:r>
          </w:p>
        </w:tc>
        <w:tc>
          <w:tcPr>
            <w:tcW w:w="384"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616"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694"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8"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3"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8"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8"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28"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27"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30510301</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认识实习</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tcPr>
          <w:p>
            <w:pPr>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308" w:type="pct"/>
            <w:gridSpan w:val="3"/>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校外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30510501</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顶岗实习</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16</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384</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tcPr>
          <w:p>
            <w:pPr>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384</w:t>
            </w:r>
          </w:p>
        </w:tc>
        <w:tc>
          <w:tcPr>
            <w:tcW w:w="308" w:type="pct"/>
            <w:gridSpan w:val="3"/>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384</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校外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30510601</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毕业设计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tcPr>
          <w:p>
            <w:pPr>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308" w:type="pct"/>
            <w:gridSpan w:val="3"/>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30510901</w:t>
            </w:r>
          </w:p>
        </w:tc>
        <w:tc>
          <w:tcPr>
            <w:tcW w:w="694"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毕业教育</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w:t>
            </w:r>
          </w:p>
        </w:tc>
        <w:tc>
          <w:tcPr>
            <w:tcW w:w="383"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tcPr>
          <w:p>
            <w:pPr>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308" w:type="pct"/>
            <w:gridSpan w:val="3"/>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8"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小计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480</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480</w:t>
            </w:r>
          </w:p>
        </w:tc>
        <w:tc>
          <w:tcPr>
            <w:tcW w:w="308"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2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456</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专业实践课</w:t>
            </w: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30510105</w:t>
            </w:r>
          </w:p>
        </w:tc>
        <w:tc>
          <w:tcPr>
            <w:tcW w:w="700"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基础会计手工实训</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308"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22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30510205</w:t>
            </w:r>
          </w:p>
        </w:tc>
        <w:tc>
          <w:tcPr>
            <w:tcW w:w="700"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出纳实务</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2"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308"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2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12</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30510305</w:t>
            </w:r>
          </w:p>
        </w:tc>
        <w:tc>
          <w:tcPr>
            <w:tcW w:w="700"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excel在财务中的运用</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302"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48</w:t>
            </w:r>
          </w:p>
        </w:tc>
        <w:tc>
          <w:tcPr>
            <w:tcW w:w="308"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2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48</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13</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30510405</w:t>
            </w:r>
          </w:p>
        </w:tc>
        <w:tc>
          <w:tcPr>
            <w:tcW w:w="700"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i实习财务实习平台</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p>
        </w:tc>
        <w:tc>
          <w:tcPr>
            <w:tcW w:w="302"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48</w:t>
            </w:r>
          </w:p>
        </w:tc>
        <w:tc>
          <w:tcPr>
            <w:tcW w:w="308"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p>
        </w:tc>
        <w:tc>
          <w:tcPr>
            <w:tcW w:w="22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48</w:t>
            </w: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C00000"/>
                <w:kern w:val="0"/>
                <w:sz w:val="18"/>
                <w:szCs w:val="18"/>
              </w:rPr>
            </w:pPr>
            <w:r>
              <w:rPr>
                <w:rFonts w:hint="eastAsia" w:ascii="宋体" w:hAnsi="宋体" w:eastAsia="宋体" w:cs="宋体"/>
                <w:color w:val="C00000"/>
                <w:kern w:val="0"/>
                <w:sz w:val="18"/>
                <w:szCs w:val="18"/>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14</w:t>
            </w:r>
          </w:p>
        </w:tc>
        <w:tc>
          <w:tcPr>
            <w:tcW w:w="616"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30510505</w:t>
            </w:r>
          </w:p>
        </w:tc>
        <w:tc>
          <w:tcPr>
            <w:tcW w:w="700"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约创平台（沙盘）</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2</w:t>
            </w:r>
          </w:p>
        </w:tc>
        <w:tc>
          <w:tcPr>
            <w:tcW w:w="383"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48</w:t>
            </w:r>
          </w:p>
        </w:tc>
        <w:tc>
          <w:tcPr>
            <w:tcW w:w="30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302"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48</w:t>
            </w:r>
          </w:p>
        </w:tc>
        <w:tc>
          <w:tcPr>
            <w:tcW w:w="308"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28"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48</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小计</w:t>
            </w:r>
          </w:p>
        </w:tc>
        <w:tc>
          <w:tcPr>
            <w:tcW w:w="308"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8</w:t>
            </w:r>
          </w:p>
        </w:tc>
        <w:tc>
          <w:tcPr>
            <w:tcW w:w="383"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192</w:t>
            </w:r>
          </w:p>
        </w:tc>
        <w:tc>
          <w:tcPr>
            <w:tcW w:w="308"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302"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192</w:t>
            </w:r>
          </w:p>
        </w:tc>
        <w:tc>
          <w:tcPr>
            <w:tcW w:w="308" w:type="pct"/>
            <w:gridSpan w:val="3"/>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228"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31"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24</w:t>
            </w:r>
          </w:p>
        </w:tc>
        <w:tc>
          <w:tcPr>
            <w:tcW w:w="230"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27"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48</w:t>
            </w:r>
          </w:p>
        </w:tc>
        <w:tc>
          <w:tcPr>
            <w:tcW w:w="231" w:type="pct"/>
            <w:gridSpan w:val="2"/>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0</w:t>
            </w:r>
          </w:p>
        </w:tc>
        <w:tc>
          <w:tcPr>
            <w:tcW w:w="384" w:type="pct"/>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选修课</w:t>
            </w:r>
          </w:p>
        </w:tc>
        <w:tc>
          <w:tcPr>
            <w:tcW w:w="222"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序号</w:t>
            </w:r>
          </w:p>
        </w:tc>
        <w:tc>
          <w:tcPr>
            <w:tcW w:w="616"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课程编码</w:t>
            </w:r>
          </w:p>
        </w:tc>
        <w:tc>
          <w:tcPr>
            <w:tcW w:w="700"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课程名称</w:t>
            </w:r>
          </w:p>
        </w:tc>
        <w:tc>
          <w:tcPr>
            <w:tcW w:w="308"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学分</w:t>
            </w:r>
          </w:p>
        </w:tc>
        <w:tc>
          <w:tcPr>
            <w:tcW w:w="1002"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学时</w:t>
            </w:r>
          </w:p>
        </w:tc>
        <w:tc>
          <w:tcPr>
            <w:tcW w:w="1449" w:type="pct"/>
            <w:gridSpan w:val="1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开设学期、学时数</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考核</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2"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616"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700"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8"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76"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总学时</w:t>
            </w:r>
          </w:p>
        </w:tc>
        <w:tc>
          <w:tcPr>
            <w:tcW w:w="306"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理论</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学时</w:t>
            </w:r>
          </w:p>
        </w:tc>
        <w:tc>
          <w:tcPr>
            <w:tcW w:w="306"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实践</w:t>
            </w:r>
            <w:r>
              <w:rPr>
                <w:rFonts w:hint="eastAsia" w:ascii="宋体" w:hAnsi="宋体" w:eastAsia="宋体" w:cs="宋体"/>
                <w:color w:val="000000" w:themeColor="text1"/>
                <w:kern w:val="0"/>
                <w:sz w:val="18"/>
                <w:szCs w:val="18"/>
                <w14:textFill>
                  <w14:solidFill>
                    <w14:schemeClr w14:val="tx1"/>
                  </w14:solidFill>
                </w14:textFill>
              </w:rPr>
              <w:br w:type="textWrapping"/>
            </w:r>
            <w:r>
              <w:rPr>
                <w:rFonts w:hint="eastAsia" w:ascii="宋体" w:hAnsi="宋体" w:eastAsia="宋体" w:cs="宋体"/>
                <w:color w:val="000000" w:themeColor="text1"/>
                <w:kern w:val="0"/>
                <w:sz w:val="18"/>
                <w:szCs w:val="18"/>
                <w14:textFill>
                  <w14:solidFill>
                    <w14:schemeClr w14:val="tx1"/>
                  </w14:solidFill>
                </w14:textFill>
              </w:rPr>
              <w:t>学时</w:t>
            </w:r>
          </w:p>
        </w:tc>
        <w:tc>
          <w:tcPr>
            <w:tcW w:w="307"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1</w:t>
            </w:r>
          </w:p>
        </w:tc>
        <w:tc>
          <w:tcPr>
            <w:tcW w:w="232" w:type="pct"/>
            <w:gridSpan w:val="3"/>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w:t>
            </w:r>
          </w:p>
        </w:tc>
        <w:tc>
          <w:tcPr>
            <w:tcW w:w="231"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3</w:t>
            </w:r>
          </w:p>
        </w:tc>
        <w:tc>
          <w:tcPr>
            <w:tcW w:w="230"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4</w:t>
            </w:r>
          </w:p>
        </w:tc>
        <w:tc>
          <w:tcPr>
            <w:tcW w:w="227"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5</w:t>
            </w:r>
          </w:p>
        </w:tc>
        <w:tc>
          <w:tcPr>
            <w:tcW w:w="231"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6</w:t>
            </w:r>
          </w:p>
        </w:tc>
        <w:tc>
          <w:tcPr>
            <w:tcW w:w="384" w:type="pct"/>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31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222"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616"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700"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8"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76"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6"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6"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07"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2" w:type="pct"/>
            <w:gridSpan w:val="3"/>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0"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27"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trPr>
        <w:tc>
          <w:tcPr>
            <w:tcW w:w="316" w:type="pct"/>
            <w:vMerge w:val="restar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思政素养课程(必选一门)</w:t>
            </w: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10020101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党史</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顶岗实习</w:t>
            </w: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10020201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新中国史</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10020301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改革开放史</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10020401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社会主义发展史</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科技素养课程</w:t>
            </w: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10020501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生命科技专题</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10020601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现代前沿科技讲座</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社会素养课程</w:t>
            </w: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10020701</w:t>
            </w:r>
          </w:p>
        </w:tc>
        <w:tc>
          <w:tcPr>
            <w:tcW w:w="700"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民法典解读</w:t>
            </w:r>
          </w:p>
        </w:tc>
        <w:tc>
          <w:tcPr>
            <w:tcW w:w="30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76"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15"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298"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307"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2" w:type="pct"/>
            <w:gridSpan w:val="3"/>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30"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27" w:type="pct"/>
            <w:gridSpan w:val="2"/>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themeColor="text1"/>
                <w:kern w:val="0"/>
                <w:sz w:val="18"/>
                <w:szCs w:val="18"/>
                <w14:textFill>
                  <w14:solidFill>
                    <w14:schemeClr w14:val="tx1"/>
                  </w14:solidFill>
                </w14:textFill>
              </w:rPr>
            </w:pPr>
          </w:p>
        </w:tc>
        <w:tc>
          <w:tcPr>
            <w:tcW w:w="384" w:type="pct"/>
            <w:shd w:val="clear" w:color="auto" w:fill="auto"/>
            <w:tcMar>
              <w:top w:w="15" w:type="dxa"/>
              <w:left w:w="15" w:type="dxa"/>
              <w:right w:w="15" w:type="dxa"/>
            </w:tcMar>
          </w:tcPr>
          <w:p>
            <w:pPr>
              <w:pStyle w:val="12"/>
              <w:spacing w:line="400" w:lineRule="atLeast"/>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2"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10020801</w:t>
            </w:r>
          </w:p>
        </w:tc>
        <w:tc>
          <w:tcPr>
            <w:tcW w:w="700"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金融常识</w:t>
            </w:r>
          </w:p>
        </w:tc>
        <w:tc>
          <w:tcPr>
            <w:tcW w:w="30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w:t>
            </w:r>
          </w:p>
        </w:tc>
        <w:tc>
          <w:tcPr>
            <w:tcW w:w="376"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15"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29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307"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2"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0" w:type="pct"/>
            <w:gridSpan w:val="2"/>
            <w:shd w:val="clear" w:color="auto" w:fill="auto"/>
            <w:tcMar>
              <w:top w:w="15" w:type="dxa"/>
              <w:left w:w="15" w:type="dxa"/>
              <w:right w:w="15" w:type="dxa"/>
            </w:tcMar>
          </w:tcPr>
          <w:p>
            <w:pPr>
              <w:pStyle w:val="12"/>
              <w:spacing w:line="400" w:lineRule="atLeast"/>
              <w:jc w:val="center"/>
              <w:rPr>
                <w:sz w:val="18"/>
                <w:szCs w:val="18"/>
              </w:rPr>
            </w:pPr>
          </w:p>
        </w:tc>
        <w:tc>
          <w:tcPr>
            <w:tcW w:w="227" w:type="pct"/>
            <w:gridSpan w:val="2"/>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restar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艺术素养课程</w:t>
            </w: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6</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10020901</w:t>
            </w:r>
          </w:p>
        </w:tc>
        <w:tc>
          <w:tcPr>
            <w:tcW w:w="700"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民族音乐与舞蹈鉴赏</w:t>
            </w:r>
          </w:p>
        </w:tc>
        <w:tc>
          <w:tcPr>
            <w:tcW w:w="30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w:t>
            </w:r>
          </w:p>
        </w:tc>
        <w:tc>
          <w:tcPr>
            <w:tcW w:w="376"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15"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29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307"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2"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0" w:type="pct"/>
            <w:gridSpan w:val="2"/>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227"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10021001</w:t>
            </w:r>
          </w:p>
        </w:tc>
        <w:tc>
          <w:tcPr>
            <w:tcW w:w="700"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民族民间技艺传承</w:t>
            </w:r>
          </w:p>
        </w:tc>
        <w:tc>
          <w:tcPr>
            <w:tcW w:w="30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w:t>
            </w:r>
          </w:p>
        </w:tc>
        <w:tc>
          <w:tcPr>
            <w:tcW w:w="376"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15"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0</w:t>
            </w:r>
          </w:p>
        </w:tc>
        <w:tc>
          <w:tcPr>
            <w:tcW w:w="29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07"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2"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0" w:type="pct"/>
            <w:gridSpan w:val="2"/>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227"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vMerge w:val="restar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顶岗实习</w:t>
            </w: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316" w:type="pct"/>
            <w:vMerge w:val="restart"/>
            <w:shd w:val="clear" w:color="auto" w:fill="auto"/>
            <w:tcMar>
              <w:top w:w="15" w:type="dxa"/>
              <w:left w:w="15" w:type="dxa"/>
              <w:right w:w="15" w:type="dxa"/>
            </w:tcMar>
            <w:vAlign w:val="center"/>
          </w:tcPr>
          <w:p>
            <w:pPr>
              <w:pStyle w:val="12"/>
              <w:spacing w:line="400" w:lineRule="atLeast"/>
              <w:jc w:val="center"/>
              <w:rPr>
                <w:sz w:val="18"/>
                <w:szCs w:val="18"/>
              </w:rPr>
            </w:pPr>
            <w:r>
              <w:rPr>
                <w:rFonts w:hint="eastAsia"/>
                <w:sz w:val="18"/>
                <w:szCs w:val="18"/>
              </w:rPr>
              <w:t>职业素养课程</w:t>
            </w: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10021101</w:t>
            </w:r>
          </w:p>
        </w:tc>
        <w:tc>
          <w:tcPr>
            <w:tcW w:w="700"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演讲与口才</w:t>
            </w:r>
          </w:p>
        </w:tc>
        <w:tc>
          <w:tcPr>
            <w:tcW w:w="30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w:t>
            </w:r>
          </w:p>
        </w:tc>
        <w:tc>
          <w:tcPr>
            <w:tcW w:w="376"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15"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29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307"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2"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231"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0" w:type="pct"/>
            <w:gridSpan w:val="2"/>
            <w:shd w:val="clear" w:color="auto" w:fill="auto"/>
            <w:tcMar>
              <w:top w:w="15" w:type="dxa"/>
              <w:left w:w="15" w:type="dxa"/>
              <w:right w:w="15" w:type="dxa"/>
            </w:tcMar>
          </w:tcPr>
          <w:p>
            <w:pPr>
              <w:pStyle w:val="12"/>
              <w:spacing w:line="400" w:lineRule="atLeast"/>
              <w:jc w:val="center"/>
              <w:rPr>
                <w:sz w:val="18"/>
                <w:szCs w:val="18"/>
              </w:rPr>
            </w:pPr>
          </w:p>
        </w:tc>
        <w:tc>
          <w:tcPr>
            <w:tcW w:w="227"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9</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10021201</w:t>
            </w:r>
          </w:p>
        </w:tc>
        <w:tc>
          <w:tcPr>
            <w:tcW w:w="700"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女性健康</w:t>
            </w:r>
          </w:p>
        </w:tc>
        <w:tc>
          <w:tcPr>
            <w:tcW w:w="30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w:t>
            </w:r>
          </w:p>
        </w:tc>
        <w:tc>
          <w:tcPr>
            <w:tcW w:w="376"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15"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29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307"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2"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230" w:type="pct"/>
            <w:gridSpan w:val="2"/>
            <w:shd w:val="clear" w:color="auto" w:fill="auto"/>
            <w:tcMar>
              <w:top w:w="15" w:type="dxa"/>
              <w:left w:w="15" w:type="dxa"/>
              <w:right w:w="15" w:type="dxa"/>
            </w:tcMar>
          </w:tcPr>
          <w:p>
            <w:pPr>
              <w:pStyle w:val="12"/>
              <w:spacing w:line="400" w:lineRule="atLeast"/>
              <w:jc w:val="center"/>
              <w:rPr>
                <w:sz w:val="18"/>
                <w:szCs w:val="18"/>
              </w:rPr>
            </w:pPr>
          </w:p>
        </w:tc>
        <w:tc>
          <w:tcPr>
            <w:tcW w:w="227"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vMerge w:val="continue"/>
            <w:shd w:val="clear" w:color="auto" w:fill="auto"/>
            <w:tcMar>
              <w:top w:w="15" w:type="dxa"/>
              <w:left w:w="15" w:type="dxa"/>
              <w:right w:w="15" w:type="dxa"/>
            </w:tcMar>
          </w:tcPr>
          <w:p>
            <w:pPr>
              <w:pStyle w:val="12"/>
              <w:spacing w:line="400" w:lineRule="atLeast"/>
              <w:jc w:val="center"/>
              <w:rPr>
                <w:sz w:val="18"/>
                <w:szCs w:val="18"/>
              </w:rPr>
            </w:pPr>
          </w:p>
        </w:tc>
        <w:tc>
          <w:tcPr>
            <w:tcW w:w="222" w:type="pct"/>
            <w:shd w:val="clear" w:color="auto" w:fill="auto"/>
            <w:tcMar>
              <w:top w:w="15" w:type="dxa"/>
              <w:left w:w="15" w:type="dxa"/>
              <w:right w:w="15"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16"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10021301</w:t>
            </w:r>
          </w:p>
        </w:tc>
        <w:tc>
          <w:tcPr>
            <w:tcW w:w="700"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校园安全专题</w:t>
            </w:r>
          </w:p>
        </w:tc>
        <w:tc>
          <w:tcPr>
            <w:tcW w:w="30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w:t>
            </w:r>
          </w:p>
        </w:tc>
        <w:tc>
          <w:tcPr>
            <w:tcW w:w="376"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315"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298"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8</w:t>
            </w:r>
          </w:p>
        </w:tc>
        <w:tc>
          <w:tcPr>
            <w:tcW w:w="307" w:type="pct"/>
            <w:gridSpan w:val="3"/>
            <w:shd w:val="clear" w:color="auto" w:fill="auto"/>
            <w:tcMar>
              <w:top w:w="15" w:type="dxa"/>
              <w:left w:w="15" w:type="dxa"/>
              <w:right w:w="15" w:type="dxa"/>
            </w:tcMar>
          </w:tcPr>
          <w:p>
            <w:pPr>
              <w:pStyle w:val="12"/>
              <w:spacing w:line="400" w:lineRule="atLeast"/>
              <w:jc w:val="center"/>
              <w:rPr>
                <w:sz w:val="18"/>
                <w:szCs w:val="18"/>
              </w:rPr>
            </w:pPr>
          </w:p>
        </w:tc>
        <w:tc>
          <w:tcPr>
            <w:tcW w:w="232" w:type="pct"/>
            <w:gridSpan w:val="3"/>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16</w:t>
            </w:r>
          </w:p>
        </w:tc>
        <w:tc>
          <w:tcPr>
            <w:tcW w:w="231"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0" w:type="pct"/>
            <w:gridSpan w:val="2"/>
            <w:shd w:val="clear" w:color="auto" w:fill="auto"/>
            <w:tcMar>
              <w:top w:w="15" w:type="dxa"/>
              <w:left w:w="15" w:type="dxa"/>
              <w:right w:w="15" w:type="dxa"/>
            </w:tcMar>
          </w:tcPr>
          <w:p>
            <w:pPr>
              <w:pStyle w:val="12"/>
              <w:spacing w:line="400" w:lineRule="atLeast"/>
              <w:jc w:val="center"/>
              <w:rPr>
                <w:sz w:val="18"/>
                <w:szCs w:val="18"/>
              </w:rPr>
            </w:pPr>
          </w:p>
        </w:tc>
        <w:tc>
          <w:tcPr>
            <w:tcW w:w="227" w:type="pct"/>
            <w:gridSpan w:val="2"/>
            <w:shd w:val="clear" w:color="auto" w:fill="auto"/>
            <w:tcMar>
              <w:top w:w="15" w:type="dxa"/>
              <w:left w:w="15" w:type="dxa"/>
              <w:right w:w="15" w:type="dxa"/>
            </w:tcMar>
          </w:tcPr>
          <w:p>
            <w:pPr>
              <w:pStyle w:val="12"/>
              <w:spacing w:line="400" w:lineRule="atLeast"/>
              <w:jc w:val="center"/>
              <w:rPr>
                <w:sz w:val="18"/>
                <w:szCs w:val="18"/>
              </w:rPr>
            </w:pP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384" w:type="pct"/>
            <w:shd w:val="clear" w:color="auto" w:fill="auto"/>
            <w:tcMar>
              <w:top w:w="15" w:type="dxa"/>
              <w:left w:w="15" w:type="dxa"/>
              <w:right w:w="15" w:type="dxa"/>
            </w:tcMar>
          </w:tcPr>
          <w:p>
            <w:pPr>
              <w:pStyle w:val="12"/>
              <w:spacing w:line="400" w:lineRule="atLeast"/>
              <w:jc w:val="center"/>
              <w:rPr>
                <w:sz w:val="18"/>
                <w:szCs w:val="18"/>
              </w:rPr>
            </w:pPr>
            <w:r>
              <w:rPr>
                <w:rFonts w:hint="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小结</w:t>
            </w:r>
          </w:p>
        </w:tc>
        <w:tc>
          <w:tcPr>
            <w:tcW w:w="30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37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112</w:t>
            </w:r>
          </w:p>
        </w:tc>
        <w:tc>
          <w:tcPr>
            <w:tcW w:w="315"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298"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307"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32" w:type="pct"/>
            <w:gridSpan w:val="3"/>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231"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230"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227" w:type="pct"/>
            <w:gridSpan w:val="2"/>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231" w:type="pct"/>
            <w:gridSpan w:val="2"/>
            <w:vMerge w:val="continue"/>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316"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c>
          <w:tcPr>
            <w:tcW w:w="1539" w:type="pct"/>
            <w:gridSpan w:val="7"/>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总计</w:t>
            </w:r>
          </w:p>
        </w:tc>
        <w:tc>
          <w:tcPr>
            <w:tcW w:w="308" w:type="pct"/>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148</w:t>
            </w:r>
          </w:p>
        </w:tc>
        <w:tc>
          <w:tcPr>
            <w:tcW w:w="376" w:type="pct"/>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2592</w:t>
            </w:r>
          </w:p>
        </w:tc>
        <w:tc>
          <w:tcPr>
            <w:tcW w:w="315" w:type="pct"/>
            <w:gridSpan w:val="3"/>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1296</w:t>
            </w:r>
          </w:p>
        </w:tc>
        <w:tc>
          <w:tcPr>
            <w:tcW w:w="298" w:type="pct"/>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1296</w:t>
            </w:r>
          </w:p>
        </w:tc>
        <w:tc>
          <w:tcPr>
            <w:tcW w:w="307" w:type="pct"/>
            <w:gridSpan w:val="3"/>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596</w:t>
            </w:r>
          </w:p>
        </w:tc>
        <w:tc>
          <w:tcPr>
            <w:tcW w:w="232" w:type="pct"/>
            <w:gridSpan w:val="3"/>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560</w:t>
            </w:r>
          </w:p>
        </w:tc>
        <w:tc>
          <w:tcPr>
            <w:tcW w:w="231" w:type="pct"/>
            <w:gridSpan w:val="2"/>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352</w:t>
            </w:r>
          </w:p>
        </w:tc>
        <w:tc>
          <w:tcPr>
            <w:tcW w:w="230" w:type="pct"/>
            <w:gridSpan w:val="2"/>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316</w:t>
            </w:r>
          </w:p>
        </w:tc>
        <w:tc>
          <w:tcPr>
            <w:tcW w:w="227" w:type="pct"/>
            <w:gridSpan w:val="2"/>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304</w:t>
            </w:r>
          </w:p>
        </w:tc>
        <w:tc>
          <w:tcPr>
            <w:tcW w:w="231" w:type="pct"/>
            <w:gridSpan w:val="2"/>
            <w:shd w:val="clear" w:color="auto" w:fill="auto"/>
            <w:tcMar>
              <w:top w:w="15" w:type="dxa"/>
              <w:left w:w="15" w:type="dxa"/>
              <w:right w:w="15" w:type="dxa"/>
            </w:tcMar>
          </w:tcPr>
          <w:p>
            <w:pPr>
              <w:jc w:val="center"/>
              <w:rPr>
                <w:rFonts w:ascii="仿宋" w:hAnsi="仿宋" w:eastAsia="仿宋"/>
                <w:color w:val="000000"/>
                <w:sz w:val="18"/>
                <w:szCs w:val="18"/>
              </w:rPr>
            </w:pPr>
            <w:r>
              <w:rPr>
                <w:rFonts w:hint="eastAsia" w:ascii="仿宋" w:hAnsi="仿宋" w:eastAsia="仿宋"/>
                <w:color w:val="000000"/>
                <w:sz w:val="18"/>
                <w:szCs w:val="18"/>
              </w:rPr>
              <w:t>464</w:t>
            </w:r>
          </w:p>
        </w:tc>
        <w:tc>
          <w:tcPr>
            <w:tcW w:w="384" w:type="pct"/>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p>
        </w:tc>
      </w:tr>
    </w:tbl>
    <w:p>
      <w:pPr>
        <w:pStyle w:val="2"/>
        <w:spacing w:before="0" w:after="0" w:line="312" w:lineRule="auto"/>
        <w:ind w:firstLine="560" w:firstLineChars="200"/>
        <w:rPr>
          <w:rFonts w:ascii="黑体" w:hAnsi="黑体" w:eastAsia="黑体" w:cs="黑体"/>
          <w:b w:val="0"/>
          <w:bCs w:val="0"/>
          <w:sz w:val="28"/>
          <w:szCs w:val="28"/>
        </w:rPr>
      </w:pPr>
      <w:bookmarkStart w:id="10" w:name="_Toc11796"/>
      <w:r>
        <w:rPr>
          <w:rFonts w:hint="eastAsia" w:ascii="黑体" w:hAnsi="黑体" w:eastAsia="黑体" w:cs="黑体"/>
          <w:b w:val="0"/>
          <w:bCs w:val="0"/>
          <w:sz w:val="28"/>
          <w:szCs w:val="28"/>
        </w:rPr>
        <w:t>九、实施保障</w:t>
      </w:r>
      <w:bookmarkEnd w:id="10"/>
    </w:p>
    <w:p>
      <w:pPr>
        <w:adjustRightInd w:val="0"/>
        <w:snapToGrid w:val="0"/>
        <w:spacing w:line="312" w:lineRule="auto"/>
        <w:ind w:firstLine="480" w:firstLineChars="200"/>
        <w:jc w:val="left"/>
        <w:rPr>
          <w:rFonts w:ascii="仿宋" w:hAnsi="仿宋" w:eastAsia="仿宋" w:cs="仿宋"/>
          <w:b/>
          <w:sz w:val="28"/>
          <w:szCs w:val="28"/>
        </w:rPr>
      </w:pPr>
      <w:r>
        <w:rPr>
          <w:rFonts w:hint="eastAsia" w:ascii="宋体" w:hAnsi="宋体" w:eastAsia="宋体" w:cs="宋体"/>
          <w:color w:val="1A1A1A" w:themeColor="background1" w:themeShade="1A"/>
          <w:sz w:val="24"/>
          <w:szCs w:val="24"/>
        </w:rPr>
        <w:t>（一）师资队伍</w:t>
      </w:r>
    </w:p>
    <w:p>
      <w:pPr>
        <w:widowControl/>
        <w:adjustRightInd w:val="0"/>
        <w:snapToGrid w:val="0"/>
        <w:spacing w:line="312" w:lineRule="auto"/>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Cs/>
          <w:szCs w:val="21"/>
        </w:rPr>
        <w:t>1</w:t>
      </w:r>
      <w:r>
        <w:rPr>
          <w:rFonts w:hint="eastAsia" w:ascii="宋体" w:hAnsi="宋体" w:eastAsia="宋体" w:cs="宋体"/>
          <w:bCs/>
          <w:color w:val="000000" w:themeColor="text1"/>
          <w:szCs w:val="21"/>
          <w14:textFill>
            <w14:solidFill>
              <w14:schemeClr w14:val="tx1"/>
            </w14:solidFill>
          </w14:textFill>
        </w:rPr>
        <w:t xml:space="preserve">.专业教学团队师资配置要求 </w:t>
      </w:r>
    </w:p>
    <w:p>
      <w:pPr>
        <w:widowControl/>
        <w:adjustRightInd w:val="0"/>
        <w:snapToGrid w:val="0"/>
        <w:spacing w:line="312" w:lineRule="auto"/>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本专业有专任教师10人，老中青搭配，年龄、职称结构合理，已形成梯队。其中专业带头人1人，注册会计师职称2人、讲师5人、助教2人；硕士以上学位教师占比70%；“双师素质”教师7人，占比达到70%。团队专兼结合，有聘请来自行业企业的校外兼职教师2人。现已形成了一支理论水平高、实践能力强、双师结构合理、勇于创新、专兼结合、德技双馨的专业教学团队。</w:t>
      </w:r>
    </w:p>
    <w:p>
      <w:pPr>
        <w:pStyle w:val="6"/>
        <w:adjustRightInd w:val="0"/>
        <w:snapToGrid w:val="0"/>
        <w:spacing w:line="312" w:lineRule="auto"/>
        <w:ind w:firstLine="420" w:firstLineChars="200"/>
        <w:jc w:val="left"/>
        <w:rPr>
          <w:bCs/>
          <w:color w:val="000000" w:themeColor="text1"/>
          <w:lang w:val="en-US" w:bidi="ar-SA"/>
          <w14:textFill>
            <w14:solidFill>
              <w14:schemeClr w14:val="tx1"/>
            </w14:solidFill>
          </w14:textFill>
        </w:rPr>
      </w:pPr>
      <w:r>
        <w:rPr>
          <w:rFonts w:hint="eastAsia"/>
          <w:bCs/>
          <w:color w:val="000000" w:themeColor="text1"/>
          <w:lang w:val="en-US" w:bidi="ar-SA"/>
          <w14:textFill>
            <w14:solidFill>
              <w14:schemeClr w14:val="tx1"/>
            </w14:solidFill>
          </w14:textFill>
        </w:rPr>
        <w:t>2.专任教师任职资格</w:t>
      </w:r>
    </w:p>
    <w:p>
      <w:pPr>
        <w:widowControl/>
        <w:adjustRightInd w:val="0"/>
        <w:snapToGrid w:val="0"/>
        <w:spacing w:line="312" w:lineRule="auto"/>
        <w:ind w:firstLine="420" w:firstLineChars="200"/>
        <w:jc w:val="left"/>
        <w:rPr>
          <w:rFonts w:ascii="宋体" w:hAnsi="宋体" w:eastAsia="宋体" w:cs="宋体"/>
          <w:szCs w:val="21"/>
        </w:rPr>
      </w:pPr>
      <w:r>
        <w:rPr>
          <w:rFonts w:hint="eastAsia" w:ascii="宋体" w:hAnsi="宋体" w:eastAsia="宋体" w:cs="宋体"/>
          <w:bCs/>
          <w:color w:val="000000" w:themeColor="text1"/>
          <w:szCs w:val="21"/>
          <w14:textFill>
            <w14:solidFill>
              <w14:schemeClr w14:val="tx1"/>
            </w14:solidFill>
          </w14:textFill>
        </w:rPr>
        <w:t>具有高校教师资格和本</w:t>
      </w:r>
      <w:r>
        <w:rPr>
          <w:rFonts w:hint="eastAsia" w:ascii="宋体" w:hAnsi="宋体" w:eastAsia="宋体" w:cs="宋体"/>
          <w:color w:val="000000" w:themeColor="text1"/>
          <w:szCs w:val="21"/>
          <w14:textFill>
            <w14:solidFill>
              <w14:schemeClr w14:val="tx1"/>
            </w14:solidFill>
          </w14:textFill>
        </w:rPr>
        <w:t>专业领域有关证书；有理想信念、有道德情操、有扎实学识；</w:t>
      </w:r>
      <w:r>
        <w:rPr>
          <w:rFonts w:hint="eastAsia" w:ascii="宋体" w:hAnsi="宋体" w:eastAsia="宋体" w:cs="宋体"/>
          <w:szCs w:val="21"/>
        </w:rPr>
        <w:t>具有本科或以上学历；具有会计专业相关理论功底和实践能力；具有信息化教学能力，能够开展课程教学改革和科学研究；每5年累计不少于6个月的企业实践经历。</w:t>
      </w:r>
    </w:p>
    <w:p>
      <w:pPr>
        <w:widowControl/>
        <w:adjustRightInd w:val="0"/>
        <w:snapToGrid w:val="0"/>
        <w:spacing w:line="312" w:lineRule="auto"/>
        <w:ind w:firstLine="420" w:firstLineChars="200"/>
        <w:jc w:val="left"/>
        <w:rPr>
          <w:rFonts w:ascii="宋体" w:hAnsi="宋体" w:eastAsia="宋体" w:cs="宋体"/>
          <w:szCs w:val="21"/>
        </w:rPr>
      </w:pPr>
      <w:r>
        <w:rPr>
          <w:rFonts w:hint="eastAsia" w:ascii="宋体" w:hAnsi="宋体" w:eastAsia="宋体" w:cs="宋体"/>
          <w:szCs w:val="21"/>
        </w:rPr>
        <w:t xml:space="preserve">3.兼职教师任职资格 </w:t>
      </w:r>
    </w:p>
    <w:p>
      <w:pPr>
        <w:widowControl/>
        <w:adjustRightInd w:val="0"/>
        <w:snapToGrid w:val="0"/>
        <w:spacing w:line="312" w:lineRule="auto"/>
        <w:ind w:firstLine="420" w:firstLineChars="200"/>
        <w:jc w:val="left"/>
        <w:rPr>
          <w:rFonts w:ascii="仿宋" w:hAnsi="仿宋" w:eastAsia="仿宋" w:cs="仿宋"/>
          <w:szCs w:val="21"/>
        </w:rPr>
      </w:pPr>
      <w:r>
        <w:rPr>
          <w:rFonts w:hint="eastAsia" w:ascii="宋体" w:hAnsi="宋体" w:eastAsia="宋体" w:cs="宋体"/>
          <w:szCs w:val="21"/>
        </w:rPr>
        <w:t xml:space="preserve">主要从行业企业聘任，具备良好的思想政治素质、职业道德和工匠精神，具有丰富实践经验，具有较高的专业素养和职业能力，具有中级及以上行业相关专业技术资格，能承担专业课程教学、实习实训指导等专业教学任务。 </w:t>
      </w:r>
      <w:r>
        <w:rPr>
          <w:rFonts w:hint="eastAsia" w:ascii="宋体" w:hAnsi="宋体" w:eastAsia="宋体" w:cs="宋体"/>
          <w:bCs/>
          <w:szCs w:val="21"/>
        </w:rPr>
        <w:t xml:space="preserve"> </w:t>
      </w:r>
    </w:p>
    <w:p>
      <w:pPr>
        <w:adjustRightInd w:val="0"/>
        <w:snapToGrid w:val="0"/>
        <w:spacing w:line="312" w:lineRule="auto"/>
        <w:ind w:firstLine="480" w:firstLineChars="200"/>
        <w:jc w:val="left"/>
        <w:rPr>
          <w:rFonts w:ascii="宋体" w:hAnsi="宋体" w:eastAsia="宋体" w:cs="宋体"/>
          <w:color w:val="1A1A1A" w:themeColor="background1" w:themeShade="1A"/>
          <w:sz w:val="24"/>
          <w:szCs w:val="24"/>
        </w:rPr>
      </w:pPr>
      <w:r>
        <w:rPr>
          <w:rFonts w:hint="eastAsia" w:ascii="宋体" w:hAnsi="宋体" w:eastAsia="宋体" w:cs="宋体"/>
          <w:color w:val="1A1A1A" w:themeColor="background1" w:themeShade="1A"/>
          <w:sz w:val="24"/>
          <w:szCs w:val="24"/>
        </w:rPr>
        <w:t>（二）教学设施</w:t>
      </w:r>
    </w:p>
    <w:p>
      <w:pPr>
        <w:pStyle w:val="6"/>
        <w:adjustRightInd w:val="0"/>
        <w:snapToGrid w:val="0"/>
        <w:spacing w:line="312" w:lineRule="auto"/>
        <w:ind w:firstLine="420" w:firstLineChars="200"/>
        <w:jc w:val="left"/>
        <w:rPr>
          <w:lang w:val="en-US" w:bidi="ar-SA"/>
        </w:rPr>
      </w:pPr>
      <w:r>
        <w:rPr>
          <w:rFonts w:hint="eastAsia"/>
          <w:lang w:val="en-US" w:bidi="ar-SA"/>
        </w:rPr>
        <w:t>1.教室要求：具备全程信息化教学的设施设备。</w:t>
      </w:r>
    </w:p>
    <w:p>
      <w:pPr>
        <w:pStyle w:val="6"/>
        <w:adjustRightInd w:val="0"/>
        <w:snapToGrid w:val="0"/>
        <w:spacing w:line="312" w:lineRule="auto"/>
        <w:ind w:firstLine="420" w:firstLineChars="200"/>
        <w:jc w:val="left"/>
        <w:rPr>
          <w:rFonts w:ascii="仿宋" w:hAnsi="仿宋" w:eastAsia="仿宋" w:cs="仿宋"/>
          <w:sz w:val="28"/>
          <w:szCs w:val="28"/>
          <w:lang w:val="en-US" w:bidi="ar-SA"/>
        </w:rPr>
      </w:pPr>
      <w:r>
        <w:rPr>
          <w:rFonts w:hint="eastAsia"/>
          <w:lang w:val="en-US" w:bidi="ar-SA"/>
        </w:rPr>
        <w:t>2.校内实训室要求如表9-1所示。</w:t>
      </w:r>
      <w:r>
        <w:rPr>
          <w:rFonts w:hint="eastAsia" w:ascii="仿宋" w:hAnsi="仿宋" w:eastAsia="仿宋" w:cs="仿宋"/>
          <w:sz w:val="28"/>
          <w:szCs w:val="28"/>
          <w:lang w:val="en-US" w:bidi="ar-SA"/>
        </w:rPr>
        <w:t xml:space="preserve"> </w:t>
      </w:r>
    </w:p>
    <w:p>
      <w:pPr>
        <w:widowControl/>
        <w:adjustRightInd w:val="0"/>
        <w:snapToGrid w:val="0"/>
        <w:jc w:val="center"/>
        <w:rPr>
          <w:rFonts w:ascii="宋体" w:hAnsi="宋体" w:eastAsia="宋体" w:cs="宋体"/>
          <w:color w:val="000000"/>
          <w:sz w:val="18"/>
          <w:szCs w:val="18"/>
        </w:rPr>
      </w:pPr>
      <w:r>
        <w:rPr>
          <w:rFonts w:hint="eastAsia" w:ascii="宋体" w:hAnsi="宋体" w:eastAsia="宋体" w:cs="宋体"/>
          <w:color w:val="000000"/>
          <w:szCs w:val="21"/>
        </w:rPr>
        <w:t>表9-1 校内实习实训室</w:t>
      </w:r>
    </w:p>
    <w:tbl>
      <w:tblPr>
        <w:tblStyle w:val="1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496"/>
        <w:gridCol w:w="4174"/>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编号</w:t>
            </w:r>
          </w:p>
        </w:tc>
        <w:tc>
          <w:tcPr>
            <w:tcW w:w="1496"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实训室</w:t>
            </w:r>
          </w:p>
        </w:tc>
        <w:tc>
          <w:tcPr>
            <w:tcW w:w="417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实训项目</w:t>
            </w:r>
          </w:p>
        </w:tc>
        <w:tc>
          <w:tcPr>
            <w:tcW w:w="2849"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96"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会计电算化实训室</w:t>
            </w:r>
          </w:p>
        </w:tc>
        <w:tc>
          <w:tcPr>
            <w:tcW w:w="4174"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采用用友等市场主流的财务软件构建会计操作平台。实训内容主要是系统的初始化设置、总账系统的账务理、UFO报表管理、工资管理、购销存账务处理等内容。</w:t>
            </w:r>
          </w:p>
        </w:tc>
        <w:tc>
          <w:tcPr>
            <w:tcW w:w="2849"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电脑、服务器、投影机、屏幕、广播功放、多媒体讲台、空调器、办公坐椅等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496"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业财一体训赛平台</w:t>
            </w:r>
          </w:p>
        </w:tc>
        <w:tc>
          <w:tcPr>
            <w:tcW w:w="4174"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全面阐述一个企业的概貌：企业经营的本质、市场战略和产品、市场的定位、生产管理与成本控制、全面计划预算管理、现金流预算、成本管理与控制、人力资源管理、企业管理信息化（ERP）</w:t>
            </w:r>
          </w:p>
        </w:tc>
        <w:tc>
          <w:tcPr>
            <w:tcW w:w="2849"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电脑、服务器、电视大屏幕、广播功放、多媒体讲台、办公坐椅等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496"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约创企业经营系统</w:t>
            </w:r>
          </w:p>
        </w:tc>
        <w:tc>
          <w:tcPr>
            <w:tcW w:w="4174"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企业经营模拟演练：沙盘模拟经营与约创模拟经营概述、约创系统管理、约创沙盘经营规则解读、约创沙盘的教学引导与操作、约创沙盘模拟经营管理用表格的编制。</w:t>
            </w:r>
          </w:p>
        </w:tc>
        <w:tc>
          <w:tcPr>
            <w:tcW w:w="2849"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电脑、服务器、电视大屏幕、广播功放、多媒体讲台、办公坐椅、虚拟沙盘等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496"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会计i实习-财务实习平台</w:t>
            </w:r>
          </w:p>
        </w:tc>
        <w:tc>
          <w:tcPr>
            <w:tcW w:w="4174"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会计专业认知：了解企业背景/组织结构/规章制度/业务流程/认知凭证/职业判断；分主题实习：业务审核/业务处理/预算分析/内外报表/信息系统/综合培训/内控规范；涉及审核原始凭证/填写票据/编制凭证/登记账簿/报表/预算/分析/培训/内控。</w:t>
            </w:r>
          </w:p>
        </w:tc>
        <w:tc>
          <w:tcPr>
            <w:tcW w:w="2849"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电脑、服务器、电视大屏幕、广播功放、多媒体讲台、办公坐椅等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96" w:type="dxa"/>
            <w:vAlign w:val="center"/>
          </w:tcPr>
          <w:p>
            <w:pPr>
              <w:widowControl/>
              <w:adjustRightInd w:val="0"/>
              <w:snapToGrid w:val="0"/>
              <w:jc w:val="center"/>
              <w:textAlignment w:val="center"/>
              <w:rPr>
                <w:rFonts w:ascii="宋体" w:hAnsi="宋体" w:eastAsia="宋体" w:cs="宋体"/>
                <w:kern w:val="0"/>
                <w:sz w:val="18"/>
                <w:szCs w:val="18"/>
              </w:rPr>
            </w:pPr>
            <w:r>
              <w:rPr>
                <w:rFonts w:hint="eastAsia" w:ascii="宋体" w:hAnsi="宋体" w:eastAsia="宋体" w:cs="宋体"/>
                <w:kern w:val="0"/>
                <w:sz w:val="18"/>
                <w:szCs w:val="18"/>
              </w:rPr>
              <w:t>会计手工实训室</w:t>
            </w:r>
          </w:p>
        </w:tc>
        <w:tc>
          <w:tcPr>
            <w:tcW w:w="4174"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模拟会计真实工作环境，所开设的主要实习项目有基础会计手工技能操作，财务会计手工技能操作，成本会计手工技能操作，毕业实习前的综合模拟操作等。</w:t>
            </w:r>
          </w:p>
        </w:tc>
        <w:tc>
          <w:tcPr>
            <w:tcW w:w="2849" w:type="dxa"/>
            <w:vAlign w:val="center"/>
          </w:tcPr>
          <w:p>
            <w:pPr>
              <w:widowControl/>
              <w:adjustRightInd w:val="0"/>
              <w:snapToGrid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配备有会计专用桌，财会模拟科目章，会计凭证，会计习题库，会计专用装订机，点钞机，模拟钞票，幻灯机等设备</w:t>
            </w:r>
          </w:p>
        </w:tc>
      </w:tr>
    </w:tbl>
    <w:p>
      <w:pPr>
        <w:pStyle w:val="6"/>
        <w:adjustRightInd w:val="0"/>
        <w:snapToGrid w:val="0"/>
        <w:spacing w:line="500" w:lineRule="exact"/>
        <w:ind w:firstLine="420" w:firstLineChars="200"/>
        <w:jc w:val="left"/>
        <w:rPr>
          <w:rFonts w:ascii="仿宋" w:hAnsi="仿宋" w:eastAsia="仿宋" w:cs="仿宋"/>
          <w:b/>
          <w:bCs/>
          <w:lang w:val="en-US" w:bidi="ar-SA"/>
        </w:rPr>
      </w:pPr>
      <w:r>
        <w:rPr>
          <w:rFonts w:hint="eastAsia"/>
          <w:lang w:val="en-US" w:bidi="ar-SA"/>
        </w:rPr>
        <w:t>3.校外实践教学基地</w:t>
      </w:r>
    </w:p>
    <w:p>
      <w:pPr>
        <w:pStyle w:val="6"/>
        <w:adjustRightInd w:val="0"/>
        <w:snapToGrid w:val="0"/>
        <w:spacing w:line="312" w:lineRule="auto"/>
        <w:jc w:val="center"/>
        <w:rPr>
          <w:lang w:val="en-US" w:bidi="ar-SA"/>
        </w:rPr>
      </w:pPr>
      <w:r>
        <w:rPr>
          <w:rFonts w:hint="eastAsia"/>
          <w:lang w:val="en-US" w:bidi="ar-SA"/>
        </w:rPr>
        <w:t>表9-2 校外实践教学基地</w:t>
      </w:r>
    </w:p>
    <w:tbl>
      <w:tblPr>
        <w:tblStyle w:val="16"/>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2721"/>
        <w:gridCol w:w="5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序号</w:t>
            </w:r>
          </w:p>
        </w:tc>
        <w:tc>
          <w:tcPr>
            <w:tcW w:w="2721"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基地单位名称</w:t>
            </w:r>
          </w:p>
        </w:tc>
        <w:tc>
          <w:tcPr>
            <w:tcW w:w="556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合作内容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1</w:t>
            </w:r>
          </w:p>
        </w:tc>
        <w:tc>
          <w:tcPr>
            <w:tcW w:w="2721"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会理绿陶有限公司</w:t>
            </w:r>
          </w:p>
        </w:tc>
        <w:tc>
          <w:tcPr>
            <w:tcW w:w="556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顶岗实习\真账实操实训\会计核算基础实训\税务岗位专项实训\岗位综合实训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2</w:t>
            </w:r>
          </w:p>
        </w:tc>
        <w:tc>
          <w:tcPr>
            <w:tcW w:w="2721"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沃尔玛西昌有限公司</w:t>
            </w:r>
          </w:p>
        </w:tc>
        <w:tc>
          <w:tcPr>
            <w:tcW w:w="556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顶岗实习\真账实操实训\会计核算基础实训\ERP财务信息化实训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3</w:t>
            </w:r>
          </w:p>
        </w:tc>
        <w:tc>
          <w:tcPr>
            <w:tcW w:w="2721"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四川和锐石油有限公司</w:t>
            </w:r>
          </w:p>
        </w:tc>
        <w:tc>
          <w:tcPr>
            <w:tcW w:w="556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顶岗实习\真账实操实训\会计核算基础实训\ERP财务信息化实训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4</w:t>
            </w:r>
          </w:p>
        </w:tc>
        <w:tc>
          <w:tcPr>
            <w:tcW w:w="2721"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西昌正中食品有限公司</w:t>
            </w:r>
          </w:p>
        </w:tc>
        <w:tc>
          <w:tcPr>
            <w:tcW w:w="556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顶岗实习\真账实操实训\会计核算基础实训\税务岗位专项实训\岗位综合实训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5</w:t>
            </w:r>
          </w:p>
        </w:tc>
        <w:tc>
          <w:tcPr>
            <w:tcW w:w="2721"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凉山州鼎安检测有限公司</w:t>
            </w:r>
          </w:p>
        </w:tc>
        <w:tc>
          <w:tcPr>
            <w:tcW w:w="556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认识实习\顶岗实习\真账实操实训\会计核算基础实训\税务岗位专项实训\岗位综合实训</w:t>
            </w:r>
          </w:p>
        </w:tc>
      </w:tr>
    </w:tbl>
    <w:p>
      <w:pPr>
        <w:adjustRightInd w:val="0"/>
        <w:snapToGrid w:val="0"/>
        <w:spacing w:line="500" w:lineRule="exact"/>
        <w:rPr>
          <w:rFonts w:ascii="宋体" w:hAnsi="宋体" w:eastAsia="宋体" w:cs="宋体"/>
          <w:bCs/>
          <w:sz w:val="24"/>
          <w:szCs w:val="24"/>
        </w:rPr>
      </w:pPr>
      <w:r>
        <w:rPr>
          <w:rFonts w:hint="eastAsia" w:ascii="宋体" w:hAnsi="宋体" w:eastAsia="宋体" w:cs="宋体"/>
          <w:bCs/>
          <w:sz w:val="24"/>
          <w:szCs w:val="24"/>
        </w:rPr>
        <w:t>（三）教学资源</w:t>
      </w:r>
    </w:p>
    <w:p>
      <w:pPr>
        <w:pStyle w:val="6"/>
        <w:adjustRightInd w:val="0"/>
        <w:snapToGrid w:val="0"/>
        <w:spacing w:line="312" w:lineRule="auto"/>
        <w:ind w:firstLine="420" w:firstLineChars="200"/>
        <w:rPr>
          <w:lang w:val="en-US" w:bidi="ar-SA"/>
        </w:rPr>
      </w:pPr>
      <w:r>
        <w:rPr>
          <w:rFonts w:hint="eastAsia"/>
          <w:lang w:val="en-US" w:bidi="ar-SA"/>
        </w:rPr>
        <w:t>1.教材选用要求:需要选用国规、省规教材，或百佳出版社出版的教材。</w:t>
      </w:r>
    </w:p>
    <w:p>
      <w:pPr>
        <w:pStyle w:val="6"/>
        <w:adjustRightInd w:val="0"/>
        <w:snapToGrid w:val="0"/>
        <w:spacing w:line="312" w:lineRule="auto"/>
        <w:ind w:firstLine="420" w:firstLineChars="200"/>
        <w:rPr>
          <w:lang w:val="en-US" w:bidi="ar-SA"/>
        </w:rPr>
      </w:pPr>
      <w:r>
        <w:rPr>
          <w:rFonts w:hint="eastAsia"/>
          <w:lang w:val="en-US" w:bidi="ar-SA"/>
        </w:rPr>
        <w:t>2.图书文献配备要求:需要配备财政部会计资格评价中心编制的会计职称考试教材。</w:t>
      </w:r>
    </w:p>
    <w:p>
      <w:pPr>
        <w:pStyle w:val="6"/>
        <w:adjustRightInd w:val="0"/>
        <w:snapToGrid w:val="0"/>
        <w:spacing w:line="312" w:lineRule="auto"/>
        <w:jc w:val="center"/>
        <w:rPr>
          <w:lang w:val="en-US" w:bidi="ar-SA"/>
        </w:rPr>
      </w:pPr>
      <w:r>
        <w:rPr>
          <w:rFonts w:hint="eastAsia"/>
          <w:lang w:val="en-US" w:bidi="ar-SA"/>
        </w:rPr>
        <w:t>表9-3 教学资源</w:t>
      </w:r>
    </w:p>
    <w:tbl>
      <w:tblPr>
        <w:tblStyle w:val="16"/>
        <w:tblW w:w="90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7"/>
        <w:gridCol w:w="2867"/>
        <w:gridCol w:w="53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jc w:val="center"/>
        </w:trPr>
        <w:tc>
          <w:tcPr>
            <w:tcW w:w="797" w:type="dxa"/>
            <w:vAlign w:val="center"/>
          </w:tcPr>
          <w:p>
            <w:pPr>
              <w:pStyle w:val="32"/>
              <w:adjustRightInd w:val="0"/>
              <w:snapToGrid w:val="0"/>
              <w:jc w:val="center"/>
              <w:rPr>
                <w:sz w:val="18"/>
                <w:szCs w:val="18"/>
              </w:rPr>
            </w:pPr>
            <w:r>
              <w:rPr>
                <w:rFonts w:hint="eastAsia"/>
                <w:sz w:val="18"/>
                <w:szCs w:val="18"/>
              </w:rPr>
              <w:t>序号</w:t>
            </w:r>
          </w:p>
        </w:tc>
        <w:tc>
          <w:tcPr>
            <w:tcW w:w="2867" w:type="dxa"/>
            <w:vAlign w:val="center"/>
          </w:tcPr>
          <w:p>
            <w:pPr>
              <w:pStyle w:val="32"/>
              <w:adjustRightInd w:val="0"/>
              <w:snapToGrid w:val="0"/>
              <w:jc w:val="center"/>
              <w:rPr>
                <w:sz w:val="18"/>
                <w:szCs w:val="18"/>
              </w:rPr>
            </w:pPr>
            <w:r>
              <w:rPr>
                <w:rFonts w:hint="eastAsia"/>
                <w:sz w:val="18"/>
                <w:szCs w:val="18"/>
              </w:rPr>
              <w:t>数字化资源名称</w:t>
            </w:r>
          </w:p>
        </w:tc>
        <w:tc>
          <w:tcPr>
            <w:tcW w:w="5358" w:type="dxa"/>
            <w:vAlign w:val="center"/>
          </w:tcPr>
          <w:p>
            <w:pPr>
              <w:pStyle w:val="32"/>
              <w:adjustRightInd w:val="0"/>
              <w:snapToGrid w:val="0"/>
              <w:jc w:val="center"/>
              <w:rPr>
                <w:sz w:val="18"/>
                <w:szCs w:val="18"/>
              </w:rPr>
            </w:pPr>
            <w:r>
              <w:rPr>
                <w:rFonts w:hint="eastAsia"/>
                <w:sz w:val="18"/>
                <w:szCs w:val="18"/>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97" w:type="dxa"/>
            <w:vAlign w:val="center"/>
          </w:tcPr>
          <w:p>
            <w:pPr>
              <w:pStyle w:val="32"/>
              <w:adjustRightInd w:val="0"/>
              <w:snapToGrid w:val="0"/>
              <w:jc w:val="center"/>
              <w:rPr>
                <w:sz w:val="18"/>
                <w:szCs w:val="18"/>
              </w:rPr>
            </w:pPr>
            <w:r>
              <w:rPr>
                <w:rFonts w:hint="eastAsia"/>
                <w:sz w:val="18"/>
                <w:szCs w:val="18"/>
              </w:rPr>
              <w:t>1</w:t>
            </w:r>
          </w:p>
        </w:tc>
        <w:tc>
          <w:tcPr>
            <w:tcW w:w="2867" w:type="dxa"/>
            <w:vAlign w:val="center"/>
          </w:tcPr>
          <w:p>
            <w:pPr>
              <w:pStyle w:val="32"/>
              <w:adjustRightInd w:val="0"/>
              <w:snapToGrid w:val="0"/>
              <w:jc w:val="center"/>
              <w:rPr>
                <w:sz w:val="18"/>
                <w:szCs w:val="18"/>
              </w:rPr>
            </w:pPr>
            <w:r>
              <w:rPr>
                <w:rFonts w:hint="eastAsia"/>
                <w:sz w:val="18"/>
                <w:szCs w:val="18"/>
              </w:rPr>
              <w:t>万方数据</w:t>
            </w:r>
          </w:p>
        </w:tc>
        <w:tc>
          <w:tcPr>
            <w:tcW w:w="5358" w:type="dxa"/>
            <w:vAlign w:val="center"/>
          </w:tcPr>
          <w:p>
            <w:pPr>
              <w:pStyle w:val="32"/>
              <w:adjustRightInd w:val="0"/>
              <w:snapToGrid w:val="0"/>
              <w:jc w:val="center"/>
              <w:rPr>
                <w:sz w:val="18"/>
                <w:szCs w:val="18"/>
              </w:rPr>
            </w:pPr>
            <w:r>
              <w:fldChar w:fldCharType="begin"/>
            </w:r>
            <w:r>
              <w:instrText xml:space="preserve"> HYPERLINK "http://g.wanfangdata.com.cn/index.html" \h </w:instrText>
            </w:r>
            <w:r>
              <w:fldChar w:fldCharType="separate"/>
            </w:r>
            <w:r>
              <w:rPr>
                <w:rFonts w:hint="eastAsia"/>
                <w:sz w:val="18"/>
                <w:szCs w:val="18"/>
              </w:rPr>
              <w:t>http://g.wanfangdata.com.cn/index.html</w:t>
            </w:r>
            <w:r>
              <w:rPr>
                <w:rFonts w:hint="eastAsia"/>
                <w:sz w:val="18"/>
                <w:szCs w:val="18"/>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jc w:val="center"/>
        </w:trPr>
        <w:tc>
          <w:tcPr>
            <w:tcW w:w="797" w:type="dxa"/>
            <w:vAlign w:val="center"/>
          </w:tcPr>
          <w:p>
            <w:pPr>
              <w:pStyle w:val="32"/>
              <w:adjustRightInd w:val="0"/>
              <w:snapToGrid w:val="0"/>
              <w:jc w:val="center"/>
              <w:rPr>
                <w:sz w:val="18"/>
                <w:szCs w:val="18"/>
              </w:rPr>
            </w:pPr>
            <w:r>
              <w:rPr>
                <w:rFonts w:hint="eastAsia"/>
                <w:sz w:val="18"/>
                <w:szCs w:val="18"/>
              </w:rPr>
              <w:t>2</w:t>
            </w:r>
          </w:p>
        </w:tc>
        <w:tc>
          <w:tcPr>
            <w:tcW w:w="2867" w:type="dxa"/>
            <w:vAlign w:val="center"/>
          </w:tcPr>
          <w:p>
            <w:pPr>
              <w:pStyle w:val="32"/>
              <w:adjustRightInd w:val="0"/>
              <w:snapToGrid w:val="0"/>
              <w:jc w:val="center"/>
              <w:rPr>
                <w:sz w:val="18"/>
                <w:szCs w:val="18"/>
              </w:rPr>
            </w:pPr>
            <w:r>
              <w:rPr>
                <w:rFonts w:hint="eastAsia"/>
                <w:sz w:val="18"/>
                <w:szCs w:val="18"/>
              </w:rPr>
              <w:t>中国知网</w:t>
            </w:r>
          </w:p>
        </w:tc>
        <w:tc>
          <w:tcPr>
            <w:tcW w:w="5358" w:type="dxa"/>
            <w:vAlign w:val="center"/>
          </w:tcPr>
          <w:p>
            <w:pPr>
              <w:pStyle w:val="32"/>
              <w:adjustRightInd w:val="0"/>
              <w:snapToGrid w:val="0"/>
              <w:jc w:val="center"/>
              <w:rPr>
                <w:sz w:val="18"/>
                <w:szCs w:val="18"/>
              </w:rPr>
            </w:pPr>
            <w:r>
              <w:fldChar w:fldCharType="begin"/>
            </w:r>
            <w:r>
              <w:instrText xml:space="preserve"> HYPERLINK "http://www.cnki.net/" \h </w:instrText>
            </w:r>
            <w:r>
              <w:fldChar w:fldCharType="separate"/>
            </w:r>
            <w:r>
              <w:rPr>
                <w:rFonts w:hint="eastAsia"/>
                <w:sz w:val="18"/>
                <w:szCs w:val="18"/>
              </w:rPr>
              <w:t>http://www.cnki.net/</w:t>
            </w:r>
            <w:r>
              <w:rPr>
                <w:rFonts w:hint="eastAsia"/>
                <w:sz w:val="18"/>
                <w:szCs w:val="18"/>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jc w:val="center"/>
        </w:trPr>
        <w:tc>
          <w:tcPr>
            <w:tcW w:w="797" w:type="dxa"/>
            <w:vAlign w:val="center"/>
          </w:tcPr>
          <w:p>
            <w:pPr>
              <w:pStyle w:val="32"/>
              <w:adjustRightInd w:val="0"/>
              <w:snapToGrid w:val="0"/>
              <w:jc w:val="center"/>
              <w:rPr>
                <w:sz w:val="18"/>
                <w:szCs w:val="18"/>
              </w:rPr>
            </w:pPr>
            <w:r>
              <w:rPr>
                <w:rFonts w:hint="eastAsia"/>
                <w:sz w:val="18"/>
                <w:szCs w:val="18"/>
              </w:rPr>
              <w:t>3</w:t>
            </w:r>
          </w:p>
        </w:tc>
        <w:tc>
          <w:tcPr>
            <w:tcW w:w="2867" w:type="dxa"/>
            <w:vAlign w:val="center"/>
          </w:tcPr>
          <w:p>
            <w:pPr>
              <w:pStyle w:val="32"/>
              <w:adjustRightInd w:val="0"/>
              <w:snapToGrid w:val="0"/>
              <w:jc w:val="center"/>
              <w:rPr>
                <w:sz w:val="18"/>
                <w:szCs w:val="18"/>
              </w:rPr>
            </w:pPr>
            <w:r>
              <w:rPr>
                <w:rFonts w:hint="eastAsia"/>
                <w:sz w:val="18"/>
                <w:szCs w:val="18"/>
              </w:rPr>
              <w:t>中华会计网校</w:t>
            </w:r>
          </w:p>
        </w:tc>
        <w:tc>
          <w:tcPr>
            <w:tcW w:w="5358" w:type="dxa"/>
            <w:vAlign w:val="center"/>
          </w:tcPr>
          <w:p>
            <w:pPr>
              <w:pStyle w:val="32"/>
              <w:adjustRightInd w:val="0"/>
              <w:snapToGrid w:val="0"/>
              <w:jc w:val="center"/>
              <w:rPr>
                <w:sz w:val="18"/>
                <w:szCs w:val="18"/>
              </w:rPr>
            </w:pPr>
            <w:r>
              <w:fldChar w:fldCharType="begin"/>
            </w:r>
            <w:r>
              <w:instrText xml:space="preserve"> HYPERLINK "http://www.chinaacc.com/" \h </w:instrText>
            </w:r>
            <w:r>
              <w:fldChar w:fldCharType="separate"/>
            </w:r>
            <w:r>
              <w:rPr>
                <w:rFonts w:hint="eastAsia"/>
                <w:sz w:val="18"/>
                <w:szCs w:val="18"/>
              </w:rPr>
              <w:t xml:space="preserve">http://www.chinaacc.com/ </w:t>
            </w:r>
            <w:r>
              <w:rPr>
                <w:rFonts w:hint="eastAsia"/>
                <w:sz w:val="18"/>
                <w:szCs w:val="18"/>
              </w:rPr>
              <w:fldChar w:fldCharType="end"/>
            </w:r>
          </w:p>
        </w:tc>
      </w:tr>
    </w:tbl>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szCs w:val="21"/>
        </w:rPr>
        <w:t>3.数字资源配备要求。建设、配备与本专业有关的音视频素材、教学课件、数字化教学案例库、虚拟仿真软件、数字教材等专业教学资源库，动态更新、满足教学。使用智慧职教、蓝墨云、雨课堂等平台及精品资源共享课程平台等。</w:t>
      </w:r>
    </w:p>
    <w:p>
      <w:pPr>
        <w:adjustRightInd w:val="0"/>
        <w:snapToGrid w:val="0"/>
        <w:spacing w:line="312" w:lineRule="auto"/>
        <w:rPr>
          <w:rFonts w:ascii="宋体" w:hAnsi="宋体" w:eastAsia="宋体" w:cs="宋体"/>
          <w:bCs/>
          <w:sz w:val="24"/>
          <w:szCs w:val="24"/>
        </w:rPr>
      </w:pPr>
      <w:r>
        <w:rPr>
          <w:rFonts w:hint="eastAsia" w:ascii="宋体" w:hAnsi="宋体" w:eastAsia="宋体" w:cs="宋体"/>
          <w:bCs/>
          <w:sz w:val="24"/>
          <w:szCs w:val="24"/>
        </w:rPr>
        <w:t>（四）教学方法</w:t>
      </w:r>
    </w:p>
    <w:p>
      <w:pPr>
        <w:adjustRightInd w:val="0"/>
        <w:snapToGrid w:val="0"/>
        <w:spacing w:line="312" w:lineRule="auto"/>
        <w:ind w:firstLine="420" w:firstLineChars="200"/>
        <w:rPr>
          <w:rFonts w:ascii="宋体" w:hAnsi="宋体" w:eastAsia="宋体" w:cs="宋体"/>
          <w:color w:val="000000"/>
          <w:szCs w:val="21"/>
        </w:rPr>
      </w:pPr>
      <w:r>
        <w:rPr>
          <w:rFonts w:hint="eastAsia" w:ascii="宋体" w:hAnsi="宋体" w:eastAsia="宋体" w:cs="宋体"/>
          <w:szCs w:val="21"/>
        </w:rPr>
        <w:t>本专业课程根据教学内容和学生实际情况，针对不同的重点和难点内容采用不同的教学方法。主要采用</w:t>
      </w:r>
      <w:r>
        <w:rPr>
          <w:rFonts w:hint="eastAsia" w:ascii="宋体" w:hAnsi="宋体" w:eastAsia="宋体" w:cs="宋体"/>
          <w:color w:val="000000"/>
          <w:szCs w:val="21"/>
        </w:rPr>
        <w:t>案例教学法、项目教学法、任务驱动法、分组教学法、教学做一体化等教学方法。</w:t>
      </w:r>
    </w:p>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color w:val="000000"/>
          <w:szCs w:val="21"/>
        </w:rPr>
        <w:t>在教学过程中，</w:t>
      </w:r>
      <w:r>
        <w:rPr>
          <w:rFonts w:hint="eastAsia" w:ascii="宋体" w:hAnsi="宋体" w:eastAsia="宋体" w:cs="宋体"/>
          <w:szCs w:val="21"/>
        </w:rPr>
        <w:t>充分发挥现代化多媒体教学的功能，通过影音、动画（三维或二维）、图片等讲授教学内容，运用现代信息化教育教学手段和企业资源，突破教学重难点。</w:t>
      </w:r>
    </w:p>
    <w:p>
      <w:pPr>
        <w:adjustRightInd w:val="0"/>
        <w:snapToGrid w:val="0"/>
        <w:spacing w:line="312" w:lineRule="auto"/>
        <w:rPr>
          <w:rFonts w:ascii="宋体" w:hAnsi="宋体" w:eastAsia="宋体" w:cs="宋体"/>
          <w:bCs/>
          <w:sz w:val="24"/>
          <w:szCs w:val="24"/>
        </w:rPr>
      </w:pPr>
      <w:r>
        <w:rPr>
          <w:rFonts w:hint="eastAsia" w:ascii="宋体" w:hAnsi="宋体" w:eastAsia="宋体" w:cs="宋体"/>
          <w:bCs/>
          <w:sz w:val="24"/>
          <w:szCs w:val="24"/>
        </w:rPr>
        <w:t>（五）学习评价</w:t>
      </w:r>
    </w:p>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color w:val="000000"/>
          <w:szCs w:val="21"/>
        </w:rPr>
        <w:t>根据培养目标要求，采用多元化考核评价，完善学生学习过程监测，加大过程考核、企业参与评价、实践技能考核成绩等在课程总成绩中的比例</w:t>
      </w:r>
      <w:r>
        <w:rPr>
          <w:rFonts w:hint="eastAsia" w:ascii="宋体" w:hAnsi="宋体" w:eastAsia="宋体" w:cs="宋体"/>
          <w:szCs w:val="21"/>
        </w:rPr>
        <w:t>。</w:t>
      </w:r>
    </w:p>
    <w:p>
      <w:pPr>
        <w:adjustRightInd w:val="0"/>
        <w:snapToGrid w:val="0"/>
        <w:spacing w:line="312" w:lineRule="auto"/>
        <w:rPr>
          <w:rFonts w:ascii="宋体" w:hAnsi="宋体" w:eastAsia="宋体" w:cs="宋体"/>
          <w:bCs/>
          <w:sz w:val="24"/>
          <w:szCs w:val="24"/>
        </w:rPr>
      </w:pPr>
      <w:r>
        <w:rPr>
          <w:rFonts w:hint="eastAsia" w:ascii="宋体" w:hAnsi="宋体" w:eastAsia="宋体" w:cs="宋体"/>
          <w:bCs/>
          <w:sz w:val="24"/>
          <w:szCs w:val="24"/>
        </w:rPr>
        <w:t>（六）质量管理</w:t>
      </w:r>
    </w:p>
    <w:p>
      <w:pPr>
        <w:adjustRightInd w:val="0"/>
        <w:snapToGrid w:val="0"/>
        <w:spacing w:line="312"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1.学校完善期初、期中、期末教学检查制度，系部加强日常教学组织运行与管理，形成教研室自查、系部普查和学校抽查的教学监督检查机制。充分发挥“学生评教”、“督导评教” 和“同行互评”的作用，开展学校督导和系部督导巡课、听课等监督活动。</w:t>
      </w:r>
    </w:p>
    <w:p>
      <w:pPr>
        <w:adjustRightInd w:val="0"/>
        <w:snapToGrid w:val="0"/>
        <w:spacing w:line="312"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2.系部对生源情况、在校生学业水平、毕业生就业情况等进行分析，定期评价人才培养质量和培养目标达成情况。</w:t>
      </w:r>
    </w:p>
    <w:p>
      <w:pPr>
        <w:adjustRightInd w:val="0"/>
        <w:snapToGrid w:val="0"/>
        <w:spacing w:line="312" w:lineRule="auto"/>
        <w:ind w:firstLine="420" w:firstLineChars="200"/>
        <w:rPr>
          <w:rFonts w:ascii="宋体" w:hAnsi="宋体" w:eastAsia="宋体" w:cs="宋体"/>
          <w:szCs w:val="21"/>
        </w:rPr>
      </w:pPr>
      <w:r>
        <w:rPr>
          <w:rFonts w:hint="eastAsia" w:ascii="宋体" w:hAnsi="宋体" w:eastAsia="宋体" w:cs="宋体"/>
          <w:color w:val="000000"/>
          <w:szCs w:val="21"/>
        </w:rPr>
        <w:t>3.专业教研室充分利用评价分析结果有效改进专业教学，持续提高人才培养质量。</w:t>
      </w:r>
    </w:p>
    <w:p>
      <w:pPr>
        <w:pStyle w:val="2"/>
        <w:spacing w:before="0" w:after="0" w:line="312" w:lineRule="auto"/>
        <w:ind w:firstLine="560" w:firstLineChars="200"/>
        <w:rPr>
          <w:rFonts w:ascii="黑体" w:hAnsi="黑体" w:eastAsia="黑体" w:cs="黑体"/>
          <w:b w:val="0"/>
          <w:bCs w:val="0"/>
          <w:sz w:val="28"/>
          <w:szCs w:val="28"/>
        </w:rPr>
      </w:pPr>
      <w:bookmarkStart w:id="11" w:name="_Toc12421"/>
      <w:r>
        <w:rPr>
          <w:rFonts w:hint="eastAsia" w:ascii="黑体" w:hAnsi="黑体" w:eastAsia="黑体" w:cs="黑体"/>
          <w:b w:val="0"/>
          <w:bCs w:val="0"/>
          <w:sz w:val="28"/>
          <w:szCs w:val="28"/>
        </w:rPr>
        <w:t>十、毕业要求</w:t>
      </w:r>
      <w:bookmarkEnd w:id="11"/>
    </w:p>
    <w:p>
      <w:pPr>
        <w:adjustRightInd w:val="0"/>
        <w:snapToGrid w:val="0"/>
        <w:spacing w:line="312" w:lineRule="auto"/>
        <w:ind w:firstLine="480" w:firstLineChars="200"/>
        <w:rPr>
          <w:bCs/>
          <w:sz w:val="24"/>
          <w:szCs w:val="24"/>
        </w:rPr>
      </w:pPr>
      <w:r>
        <w:rPr>
          <w:bCs/>
          <w:sz w:val="24"/>
          <w:szCs w:val="24"/>
        </w:rPr>
        <w:t>（一）学生应修学分</w:t>
      </w:r>
    </w:p>
    <w:p>
      <w:pPr>
        <w:adjustRightInd w:val="0"/>
        <w:snapToGrid w:val="0"/>
        <w:spacing w:line="312" w:lineRule="auto"/>
        <w:jc w:val="center"/>
      </w:pPr>
      <w:r>
        <w:t>表</w:t>
      </w:r>
      <w:r>
        <w:rPr>
          <w:rFonts w:hint="eastAsia"/>
        </w:rPr>
        <w:t>10</w:t>
      </w:r>
      <w:r>
        <w:t>-1 学生应修学分</w:t>
      </w:r>
    </w:p>
    <w:tbl>
      <w:tblPr>
        <w:tblStyle w:val="16"/>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1176"/>
        <w:gridCol w:w="1176"/>
        <w:gridCol w:w="1188"/>
        <w:gridCol w:w="1140"/>
        <w:gridCol w:w="1140"/>
        <w:gridCol w:w="118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46" w:type="dxa"/>
            <w:vAlign w:val="center"/>
          </w:tcPr>
          <w:p>
            <w:pPr>
              <w:adjustRightInd w:val="0"/>
              <w:snapToGrid w:val="0"/>
              <w:spacing w:line="260" w:lineRule="exact"/>
              <w:jc w:val="center"/>
              <w:rPr>
                <w:sz w:val="18"/>
                <w:szCs w:val="18"/>
              </w:rPr>
            </w:pPr>
            <w:r>
              <w:rPr>
                <w:sz w:val="18"/>
                <w:szCs w:val="18"/>
              </w:rPr>
              <w:t>公共</w:t>
            </w:r>
            <w:r>
              <w:rPr>
                <w:rFonts w:hint="eastAsia"/>
                <w:sz w:val="18"/>
                <w:szCs w:val="18"/>
              </w:rPr>
              <w:t>基础</w:t>
            </w:r>
            <w:r>
              <w:rPr>
                <w:sz w:val="18"/>
                <w:szCs w:val="18"/>
              </w:rPr>
              <w:t>课</w:t>
            </w:r>
          </w:p>
        </w:tc>
        <w:tc>
          <w:tcPr>
            <w:tcW w:w="1176" w:type="dxa"/>
            <w:vAlign w:val="center"/>
          </w:tcPr>
          <w:p>
            <w:pPr>
              <w:adjustRightInd w:val="0"/>
              <w:snapToGrid w:val="0"/>
              <w:spacing w:line="260" w:lineRule="exact"/>
              <w:jc w:val="center"/>
              <w:rPr>
                <w:sz w:val="18"/>
                <w:szCs w:val="18"/>
              </w:rPr>
            </w:pPr>
            <w:r>
              <w:rPr>
                <w:sz w:val="18"/>
                <w:szCs w:val="18"/>
              </w:rPr>
              <w:t>专业</w:t>
            </w:r>
            <w:r>
              <w:rPr>
                <w:rFonts w:hint="eastAsia"/>
                <w:sz w:val="18"/>
                <w:szCs w:val="18"/>
              </w:rPr>
              <w:t>基础</w:t>
            </w:r>
            <w:r>
              <w:rPr>
                <w:sz w:val="18"/>
                <w:szCs w:val="18"/>
              </w:rPr>
              <w:t>课</w:t>
            </w:r>
          </w:p>
        </w:tc>
        <w:tc>
          <w:tcPr>
            <w:tcW w:w="1176" w:type="dxa"/>
            <w:vAlign w:val="center"/>
          </w:tcPr>
          <w:p>
            <w:pPr>
              <w:adjustRightInd w:val="0"/>
              <w:snapToGrid w:val="0"/>
              <w:spacing w:line="260" w:lineRule="exact"/>
              <w:jc w:val="center"/>
              <w:rPr>
                <w:sz w:val="18"/>
                <w:szCs w:val="18"/>
              </w:rPr>
            </w:pPr>
            <w:r>
              <w:rPr>
                <w:rFonts w:hint="eastAsia"/>
                <w:sz w:val="18"/>
                <w:szCs w:val="18"/>
              </w:rPr>
              <w:t>专业核心课</w:t>
            </w:r>
          </w:p>
        </w:tc>
        <w:tc>
          <w:tcPr>
            <w:tcW w:w="1188" w:type="dxa"/>
            <w:vAlign w:val="center"/>
          </w:tcPr>
          <w:p>
            <w:pPr>
              <w:adjustRightInd w:val="0"/>
              <w:snapToGrid w:val="0"/>
              <w:spacing w:line="260" w:lineRule="exact"/>
              <w:jc w:val="center"/>
              <w:rPr>
                <w:sz w:val="18"/>
                <w:szCs w:val="18"/>
              </w:rPr>
            </w:pPr>
            <w:r>
              <w:rPr>
                <w:rFonts w:hint="eastAsia"/>
                <w:sz w:val="18"/>
                <w:szCs w:val="18"/>
              </w:rPr>
              <w:t>专业拓展课</w:t>
            </w:r>
          </w:p>
        </w:tc>
        <w:tc>
          <w:tcPr>
            <w:tcW w:w="1140" w:type="dxa"/>
            <w:vAlign w:val="center"/>
          </w:tcPr>
          <w:p>
            <w:pPr>
              <w:adjustRightInd w:val="0"/>
              <w:snapToGrid w:val="0"/>
              <w:spacing w:line="260" w:lineRule="exact"/>
              <w:jc w:val="center"/>
              <w:rPr>
                <w:sz w:val="18"/>
                <w:szCs w:val="18"/>
              </w:rPr>
            </w:pPr>
            <w:r>
              <w:rPr>
                <w:rFonts w:hint="eastAsia"/>
                <w:sz w:val="18"/>
                <w:szCs w:val="18"/>
              </w:rPr>
              <w:t>公共实践课</w:t>
            </w:r>
          </w:p>
        </w:tc>
        <w:tc>
          <w:tcPr>
            <w:tcW w:w="1140" w:type="dxa"/>
            <w:vAlign w:val="center"/>
          </w:tcPr>
          <w:p>
            <w:pPr>
              <w:adjustRightInd w:val="0"/>
              <w:snapToGrid w:val="0"/>
              <w:spacing w:line="260" w:lineRule="exact"/>
              <w:jc w:val="center"/>
              <w:rPr>
                <w:sz w:val="18"/>
                <w:szCs w:val="18"/>
              </w:rPr>
            </w:pPr>
            <w:r>
              <w:rPr>
                <w:rFonts w:hint="eastAsia"/>
                <w:sz w:val="18"/>
                <w:szCs w:val="18"/>
              </w:rPr>
              <w:t>专业实践课</w:t>
            </w:r>
          </w:p>
        </w:tc>
        <w:tc>
          <w:tcPr>
            <w:tcW w:w="1184" w:type="dxa"/>
            <w:vAlign w:val="center"/>
          </w:tcPr>
          <w:p>
            <w:pPr>
              <w:adjustRightInd w:val="0"/>
              <w:snapToGrid w:val="0"/>
              <w:spacing w:line="260" w:lineRule="exact"/>
              <w:jc w:val="center"/>
              <w:rPr>
                <w:sz w:val="18"/>
                <w:szCs w:val="18"/>
              </w:rPr>
            </w:pPr>
            <w:r>
              <w:rPr>
                <w:rFonts w:hint="eastAsia"/>
                <w:sz w:val="18"/>
                <w:szCs w:val="18"/>
              </w:rPr>
              <w:t>公共选修课</w:t>
            </w:r>
          </w:p>
        </w:tc>
        <w:tc>
          <w:tcPr>
            <w:tcW w:w="1021" w:type="dxa"/>
            <w:vAlign w:val="center"/>
          </w:tcPr>
          <w:p>
            <w:pPr>
              <w:adjustRightInd w:val="0"/>
              <w:snapToGrid w:val="0"/>
              <w:spacing w:line="260" w:lineRule="exact"/>
              <w:jc w:val="center"/>
              <w:rPr>
                <w:sz w:val="18"/>
                <w:szCs w:val="18"/>
              </w:rPr>
            </w:pPr>
            <w:r>
              <w:rPr>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146" w:type="dxa"/>
            <w:vAlign w:val="center"/>
          </w:tcPr>
          <w:p>
            <w:pPr>
              <w:adjustRightInd w:val="0"/>
              <w:snapToGrid w:val="0"/>
              <w:spacing w:line="260" w:lineRule="exact"/>
              <w:jc w:val="center"/>
              <w:rPr>
                <w:sz w:val="18"/>
                <w:szCs w:val="18"/>
              </w:rPr>
            </w:pPr>
            <w:r>
              <w:rPr>
                <w:rFonts w:hint="eastAsia"/>
                <w:sz w:val="18"/>
                <w:szCs w:val="18"/>
              </w:rPr>
              <w:t>42</w:t>
            </w:r>
          </w:p>
        </w:tc>
        <w:tc>
          <w:tcPr>
            <w:tcW w:w="1176" w:type="dxa"/>
            <w:vAlign w:val="center"/>
          </w:tcPr>
          <w:p>
            <w:pPr>
              <w:adjustRightInd w:val="0"/>
              <w:snapToGrid w:val="0"/>
              <w:spacing w:line="260" w:lineRule="exact"/>
              <w:jc w:val="center"/>
              <w:rPr>
                <w:sz w:val="18"/>
                <w:szCs w:val="18"/>
              </w:rPr>
            </w:pPr>
            <w:r>
              <w:rPr>
                <w:rFonts w:hint="eastAsia"/>
                <w:sz w:val="18"/>
                <w:szCs w:val="18"/>
              </w:rPr>
              <w:t>18</w:t>
            </w:r>
          </w:p>
        </w:tc>
        <w:tc>
          <w:tcPr>
            <w:tcW w:w="1176" w:type="dxa"/>
            <w:vAlign w:val="center"/>
          </w:tcPr>
          <w:p>
            <w:pPr>
              <w:adjustRightInd w:val="0"/>
              <w:snapToGrid w:val="0"/>
              <w:spacing w:line="260" w:lineRule="exact"/>
              <w:jc w:val="center"/>
              <w:rPr>
                <w:sz w:val="18"/>
                <w:szCs w:val="18"/>
              </w:rPr>
            </w:pPr>
            <w:r>
              <w:rPr>
                <w:rFonts w:hint="eastAsia"/>
                <w:sz w:val="18"/>
                <w:szCs w:val="18"/>
              </w:rPr>
              <w:t>36</w:t>
            </w:r>
          </w:p>
        </w:tc>
        <w:tc>
          <w:tcPr>
            <w:tcW w:w="1188" w:type="dxa"/>
            <w:vAlign w:val="center"/>
          </w:tcPr>
          <w:p>
            <w:pPr>
              <w:adjustRightInd w:val="0"/>
              <w:snapToGrid w:val="0"/>
              <w:spacing w:line="260" w:lineRule="exact"/>
              <w:jc w:val="center"/>
              <w:rPr>
                <w:sz w:val="18"/>
                <w:szCs w:val="18"/>
              </w:rPr>
            </w:pPr>
            <w:r>
              <w:rPr>
                <w:rFonts w:hint="eastAsia"/>
                <w:sz w:val="18"/>
                <w:szCs w:val="18"/>
              </w:rPr>
              <w:t>17</w:t>
            </w:r>
          </w:p>
        </w:tc>
        <w:tc>
          <w:tcPr>
            <w:tcW w:w="1140" w:type="dxa"/>
            <w:vAlign w:val="center"/>
          </w:tcPr>
          <w:p>
            <w:pPr>
              <w:adjustRightInd w:val="0"/>
              <w:snapToGrid w:val="0"/>
              <w:spacing w:line="260" w:lineRule="exact"/>
              <w:jc w:val="center"/>
              <w:rPr>
                <w:sz w:val="18"/>
                <w:szCs w:val="18"/>
              </w:rPr>
            </w:pPr>
            <w:r>
              <w:rPr>
                <w:rFonts w:hint="eastAsia"/>
                <w:sz w:val="18"/>
                <w:szCs w:val="18"/>
              </w:rPr>
              <w:t>20</w:t>
            </w:r>
          </w:p>
        </w:tc>
        <w:tc>
          <w:tcPr>
            <w:tcW w:w="1140" w:type="dxa"/>
            <w:vAlign w:val="center"/>
          </w:tcPr>
          <w:p>
            <w:pPr>
              <w:adjustRightInd w:val="0"/>
              <w:snapToGrid w:val="0"/>
              <w:spacing w:line="260" w:lineRule="exact"/>
              <w:jc w:val="center"/>
              <w:rPr>
                <w:sz w:val="18"/>
                <w:szCs w:val="18"/>
              </w:rPr>
            </w:pPr>
            <w:r>
              <w:rPr>
                <w:rFonts w:hint="eastAsia"/>
                <w:sz w:val="18"/>
                <w:szCs w:val="18"/>
              </w:rPr>
              <w:t>8</w:t>
            </w:r>
          </w:p>
        </w:tc>
        <w:tc>
          <w:tcPr>
            <w:tcW w:w="1184" w:type="dxa"/>
            <w:vAlign w:val="center"/>
          </w:tcPr>
          <w:p>
            <w:pPr>
              <w:adjustRightInd w:val="0"/>
              <w:snapToGrid w:val="0"/>
              <w:spacing w:line="260" w:lineRule="exact"/>
              <w:jc w:val="center"/>
              <w:rPr>
                <w:sz w:val="18"/>
                <w:szCs w:val="18"/>
              </w:rPr>
            </w:pPr>
            <w:r>
              <w:rPr>
                <w:rFonts w:hint="eastAsia"/>
                <w:sz w:val="18"/>
                <w:szCs w:val="18"/>
              </w:rPr>
              <w:t>7</w:t>
            </w:r>
          </w:p>
        </w:tc>
        <w:tc>
          <w:tcPr>
            <w:tcW w:w="1021" w:type="dxa"/>
            <w:vAlign w:val="center"/>
          </w:tcPr>
          <w:p>
            <w:pPr>
              <w:adjustRightInd w:val="0"/>
              <w:snapToGrid w:val="0"/>
              <w:spacing w:line="260" w:lineRule="exact"/>
              <w:jc w:val="center"/>
              <w:rPr>
                <w:sz w:val="18"/>
                <w:szCs w:val="18"/>
              </w:rPr>
            </w:pPr>
            <w:r>
              <w:rPr>
                <w:rFonts w:hint="eastAsia"/>
                <w:sz w:val="18"/>
                <w:szCs w:val="18"/>
              </w:rPr>
              <w:t>148</w:t>
            </w:r>
          </w:p>
        </w:tc>
      </w:tr>
    </w:tbl>
    <w:p>
      <w:pPr>
        <w:adjustRightInd w:val="0"/>
        <w:snapToGrid w:val="0"/>
        <w:spacing w:line="40" w:lineRule="exact"/>
        <w:jc w:val="left"/>
        <w:rPr>
          <w:rFonts w:ascii="宋体" w:hAnsi="宋体" w:eastAsia="宋体" w:cs="宋体"/>
          <w:szCs w:val="21"/>
        </w:rPr>
      </w:pPr>
    </w:p>
    <w:p>
      <w:pPr>
        <w:adjustRightInd w:val="0"/>
        <w:snapToGrid w:val="0"/>
        <w:spacing w:line="312" w:lineRule="auto"/>
        <w:ind w:firstLine="420" w:firstLineChars="200"/>
        <w:jc w:val="left"/>
        <w:rPr>
          <w:rFonts w:ascii="宋体" w:hAnsi="宋体" w:eastAsia="宋体" w:cs="宋体"/>
          <w:szCs w:val="21"/>
        </w:rPr>
      </w:pPr>
      <w:r>
        <w:rPr>
          <w:rFonts w:hint="eastAsia" w:ascii="宋体" w:hAnsi="宋体" w:eastAsia="宋体" w:cs="宋体"/>
          <w:szCs w:val="21"/>
        </w:rPr>
        <w:t>注：学校公共选修课不低于</w:t>
      </w:r>
      <w:r>
        <w:rPr>
          <w:rFonts w:hint="eastAsia" w:ascii="宋体" w:hAnsi="宋体" w:eastAsia="宋体" w:cs="宋体"/>
          <w:szCs w:val="21"/>
          <w:u w:val="single"/>
        </w:rPr>
        <w:t xml:space="preserve">   7   </w:t>
      </w:r>
      <w:r>
        <w:rPr>
          <w:rFonts w:hint="eastAsia" w:ascii="宋体" w:hAnsi="宋体" w:eastAsia="宋体" w:cs="宋体"/>
          <w:szCs w:val="21"/>
        </w:rPr>
        <w:t>学分。</w:t>
      </w:r>
    </w:p>
    <w:p>
      <w:pPr>
        <w:numPr>
          <w:ilvl w:val="0"/>
          <w:numId w:val="1"/>
        </w:numPr>
        <w:adjustRightInd w:val="0"/>
        <w:snapToGrid w:val="0"/>
        <w:spacing w:line="312" w:lineRule="auto"/>
        <w:ind w:firstLine="480" w:firstLineChars="200"/>
        <w:rPr>
          <w:bCs/>
          <w:sz w:val="24"/>
          <w:szCs w:val="24"/>
        </w:rPr>
      </w:pPr>
      <w:r>
        <w:rPr>
          <w:bCs/>
          <w:sz w:val="24"/>
          <w:szCs w:val="24"/>
        </w:rPr>
        <w:t>应取得资格证书及等级</w:t>
      </w:r>
    </w:p>
    <w:p>
      <w:pPr>
        <w:spacing w:before="98" w:line="312" w:lineRule="auto"/>
        <w:ind w:left="420" w:leftChars="200"/>
        <w:jc w:val="center"/>
        <w:rPr>
          <w:rFonts w:ascii="宋体" w:hAnsi="宋体" w:eastAsia="宋体" w:cs="宋体"/>
          <w:color w:val="000000"/>
          <w:szCs w:val="21"/>
        </w:rPr>
      </w:pPr>
      <w:r>
        <w:rPr>
          <w:rFonts w:hint="eastAsia" w:ascii="宋体" w:hAnsi="宋体" w:eastAsia="宋体" w:cs="宋体"/>
          <w:color w:val="000000"/>
          <w:szCs w:val="21"/>
        </w:rPr>
        <w:t>表10-2 专业相关证书</w:t>
      </w:r>
    </w:p>
    <w:tbl>
      <w:tblPr>
        <w:tblStyle w:val="16"/>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696"/>
        <w:gridCol w:w="2700"/>
        <w:gridCol w:w="2659"/>
        <w:gridCol w:w="763"/>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562"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序号</w:t>
            </w:r>
          </w:p>
        </w:tc>
        <w:tc>
          <w:tcPr>
            <w:tcW w:w="696"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类别</w:t>
            </w:r>
          </w:p>
        </w:tc>
        <w:tc>
          <w:tcPr>
            <w:tcW w:w="2700"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职业资格名称</w:t>
            </w:r>
          </w:p>
        </w:tc>
        <w:tc>
          <w:tcPr>
            <w:tcW w:w="265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颁证单位</w:t>
            </w:r>
          </w:p>
        </w:tc>
        <w:tc>
          <w:tcPr>
            <w:tcW w:w="763"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等级</w:t>
            </w:r>
          </w:p>
        </w:tc>
        <w:tc>
          <w:tcPr>
            <w:tcW w:w="191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1</w:t>
            </w:r>
          </w:p>
        </w:tc>
        <w:tc>
          <w:tcPr>
            <w:tcW w:w="696" w:type="dxa"/>
            <w:vMerge w:val="restart"/>
            <w:vAlign w:val="center"/>
          </w:tcPr>
          <w:p>
            <w:pPr>
              <w:pStyle w:val="15"/>
              <w:adjustRightInd w:val="0"/>
              <w:snapToGrid w:val="0"/>
              <w:spacing w:after="0"/>
              <w:ind w:left="0" w:leftChars="0" w:firstLine="0" w:firstLineChars="0"/>
              <w:rPr>
                <w:rFonts w:ascii="宋体" w:hAnsi="宋体" w:eastAsia="宋体" w:cs="宋体"/>
                <w:sz w:val="18"/>
                <w:szCs w:val="18"/>
              </w:rPr>
            </w:pPr>
            <w:r>
              <w:rPr>
                <w:rFonts w:hint="eastAsia" w:ascii="宋体" w:hAnsi="宋体" w:eastAsia="宋体" w:cs="宋体"/>
                <w:sz w:val="18"/>
                <w:szCs w:val="18"/>
              </w:rPr>
              <w:t>技术技能类</w:t>
            </w:r>
          </w:p>
        </w:tc>
        <w:tc>
          <w:tcPr>
            <w:tcW w:w="2700" w:type="dxa"/>
            <w:vAlign w:val="center"/>
          </w:tcPr>
          <w:p>
            <w:pPr>
              <w:adjustRightInd w:val="0"/>
              <w:snapToGrid w:val="0"/>
              <w:rPr>
                <w:rFonts w:ascii="宋体" w:hAnsi="宋体" w:eastAsia="宋体" w:cs="宋体"/>
                <w:sz w:val="18"/>
                <w:szCs w:val="18"/>
              </w:rPr>
            </w:pPr>
            <w:r>
              <w:rPr>
                <w:rFonts w:hint="eastAsia" w:ascii="宋体" w:hAnsi="宋体" w:eastAsia="宋体" w:cs="宋体"/>
                <w:spacing w:val="-4"/>
                <w:sz w:val="18"/>
                <w:szCs w:val="18"/>
              </w:rPr>
              <w:t>初级会计专业技术资格证书</w:t>
            </w:r>
            <w:r>
              <w:rPr>
                <w:rFonts w:hint="eastAsia" w:ascii="宋体" w:hAnsi="宋体" w:eastAsia="宋体" w:cs="宋体"/>
                <w:sz w:val="18"/>
                <w:szCs w:val="18"/>
              </w:rPr>
              <w:t xml:space="preserve"> </w:t>
            </w:r>
          </w:p>
        </w:tc>
        <w:tc>
          <w:tcPr>
            <w:tcW w:w="265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 xml:space="preserve">人社部、财政部 </w:t>
            </w:r>
          </w:p>
        </w:tc>
        <w:tc>
          <w:tcPr>
            <w:tcW w:w="763"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初级</w:t>
            </w:r>
          </w:p>
        </w:tc>
        <w:tc>
          <w:tcPr>
            <w:tcW w:w="191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2"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2</w:t>
            </w:r>
          </w:p>
        </w:tc>
        <w:tc>
          <w:tcPr>
            <w:tcW w:w="696" w:type="dxa"/>
            <w:vMerge w:val="continue"/>
            <w:vAlign w:val="center"/>
          </w:tcPr>
          <w:p>
            <w:pPr>
              <w:adjustRightInd w:val="0"/>
              <w:snapToGrid w:val="0"/>
              <w:jc w:val="center"/>
              <w:rPr>
                <w:rFonts w:ascii="宋体" w:hAnsi="宋体" w:eastAsia="宋体" w:cs="宋体"/>
                <w:sz w:val="18"/>
                <w:szCs w:val="18"/>
              </w:rPr>
            </w:pPr>
          </w:p>
        </w:tc>
        <w:tc>
          <w:tcPr>
            <w:tcW w:w="2700"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业财一体化应用等级证书</w:t>
            </w:r>
          </w:p>
        </w:tc>
        <w:tc>
          <w:tcPr>
            <w:tcW w:w="265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新道科技股份有限公司</w:t>
            </w:r>
          </w:p>
        </w:tc>
        <w:tc>
          <w:tcPr>
            <w:tcW w:w="763"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中级</w:t>
            </w:r>
          </w:p>
        </w:tc>
        <w:tc>
          <w:tcPr>
            <w:tcW w:w="191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（1+X证书）可选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3</w:t>
            </w:r>
          </w:p>
        </w:tc>
        <w:tc>
          <w:tcPr>
            <w:tcW w:w="696" w:type="dxa"/>
            <w:vMerge w:val="continue"/>
            <w:vAlign w:val="center"/>
          </w:tcPr>
          <w:p>
            <w:pPr>
              <w:adjustRightInd w:val="0"/>
              <w:snapToGrid w:val="0"/>
              <w:jc w:val="center"/>
              <w:rPr>
                <w:rFonts w:ascii="宋体" w:hAnsi="宋体" w:eastAsia="宋体" w:cs="宋体"/>
                <w:sz w:val="18"/>
                <w:szCs w:val="18"/>
              </w:rPr>
            </w:pPr>
          </w:p>
        </w:tc>
        <w:tc>
          <w:tcPr>
            <w:tcW w:w="2700"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会计软件应用</w:t>
            </w:r>
          </w:p>
        </w:tc>
        <w:tc>
          <w:tcPr>
            <w:tcW w:w="265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四川省职业技能鉴定指导中心</w:t>
            </w:r>
          </w:p>
        </w:tc>
        <w:tc>
          <w:tcPr>
            <w:tcW w:w="763"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中级</w:t>
            </w:r>
          </w:p>
        </w:tc>
        <w:tc>
          <w:tcPr>
            <w:tcW w:w="191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4</w:t>
            </w:r>
          </w:p>
        </w:tc>
        <w:tc>
          <w:tcPr>
            <w:tcW w:w="696" w:type="dxa"/>
            <w:vMerge w:val="restart"/>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职业通用类</w:t>
            </w:r>
          </w:p>
        </w:tc>
        <w:tc>
          <w:tcPr>
            <w:tcW w:w="2700"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普通话证书</w:t>
            </w:r>
          </w:p>
        </w:tc>
        <w:tc>
          <w:tcPr>
            <w:tcW w:w="265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国家语言文字工作委员会</w:t>
            </w:r>
          </w:p>
        </w:tc>
        <w:tc>
          <w:tcPr>
            <w:tcW w:w="763"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二级乙等</w:t>
            </w:r>
          </w:p>
        </w:tc>
        <w:tc>
          <w:tcPr>
            <w:tcW w:w="191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5</w:t>
            </w:r>
          </w:p>
        </w:tc>
        <w:tc>
          <w:tcPr>
            <w:tcW w:w="696" w:type="dxa"/>
            <w:vMerge w:val="continue"/>
            <w:vAlign w:val="center"/>
          </w:tcPr>
          <w:p>
            <w:pPr>
              <w:adjustRightInd w:val="0"/>
              <w:snapToGrid w:val="0"/>
              <w:jc w:val="center"/>
              <w:rPr>
                <w:rFonts w:ascii="宋体" w:hAnsi="宋体" w:eastAsia="宋体" w:cs="宋体"/>
                <w:sz w:val="18"/>
                <w:szCs w:val="18"/>
              </w:rPr>
            </w:pPr>
          </w:p>
        </w:tc>
        <w:tc>
          <w:tcPr>
            <w:tcW w:w="2700"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计算机等级证书</w:t>
            </w:r>
          </w:p>
        </w:tc>
        <w:tc>
          <w:tcPr>
            <w:tcW w:w="2659"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教育部考试中心</w:t>
            </w:r>
          </w:p>
        </w:tc>
        <w:tc>
          <w:tcPr>
            <w:tcW w:w="763" w:type="dxa"/>
            <w:vAlign w:val="center"/>
          </w:tcPr>
          <w:p>
            <w:pPr>
              <w:adjustRightInd w:val="0"/>
              <w:snapToGrid w:val="0"/>
              <w:rPr>
                <w:rFonts w:ascii="宋体" w:hAnsi="宋体" w:eastAsia="宋体" w:cs="宋体"/>
                <w:sz w:val="18"/>
                <w:szCs w:val="18"/>
              </w:rPr>
            </w:pPr>
            <w:r>
              <w:rPr>
                <w:rFonts w:hint="eastAsia" w:ascii="宋体" w:hAnsi="宋体" w:eastAsia="宋体" w:cs="宋体"/>
                <w:sz w:val="18"/>
                <w:szCs w:val="18"/>
              </w:rPr>
              <w:t>二级</w:t>
            </w:r>
          </w:p>
        </w:tc>
        <w:tc>
          <w:tcPr>
            <w:tcW w:w="1919" w:type="dxa"/>
            <w:vAlign w:val="center"/>
          </w:tcPr>
          <w:p>
            <w:pPr>
              <w:adjustRightInd w:val="0"/>
              <w:snapToGrid w:val="0"/>
              <w:jc w:val="center"/>
              <w:rPr>
                <w:rFonts w:ascii="宋体" w:hAnsi="宋体" w:eastAsia="宋体" w:cs="宋体"/>
                <w:sz w:val="18"/>
                <w:szCs w:val="18"/>
              </w:rPr>
            </w:pPr>
            <w:r>
              <w:rPr>
                <w:rFonts w:hint="eastAsia" w:ascii="宋体" w:hAnsi="宋体" w:eastAsia="宋体" w:cs="宋体"/>
                <w:sz w:val="18"/>
                <w:szCs w:val="18"/>
              </w:rPr>
              <w:t>必选</w:t>
            </w:r>
          </w:p>
        </w:tc>
      </w:tr>
    </w:tbl>
    <w:p>
      <w:pPr>
        <w:pStyle w:val="15"/>
        <w:ind w:left="0" w:leftChars="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szCs w:val="21"/>
        </w:rPr>
        <w:t>注：必选的职业资格证书至少一个。</w:t>
      </w:r>
    </w:p>
    <w:p>
      <w:pPr>
        <w:adjustRightInd w:val="0"/>
        <w:snapToGrid w:val="0"/>
        <w:spacing w:line="312" w:lineRule="auto"/>
        <w:rPr>
          <w:bCs/>
          <w:sz w:val="24"/>
          <w:szCs w:val="24"/>
        </w:rPr>
      </w:pPr>
    </w:p>
    <w:p>
      <w:pPr>
        <w:pStyle w:val="6"/>
        <w:adjustRightInd w:val="0"/>
        <w:snapToGrid w:val="0"/>
        <w:spacing w:line="312" w:lineRule="auto"/>
        <w:ind w:firstLine="420" w:firstLineChars="200"/>
        <w:jc w:val="left"/>
        <w:rPr>
          <w:lang w:val="en-US"/>
        </w:rPr>
      </w:pPr>
    </w:p>
    <w:sectPr>
      <w:headerReference r:id="rId3" w:type="default"/>
      <w:footerReference r:id="rId4" w:type="default"/>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p>
    <w:pPr>
      <w:pStyle w:val="11"/>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69E39F"/>
    <w:multiLevelType w:val="singleLevel"/>
    <w:tmpl w:val="AE69E39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43"/>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F3B"/>
    <w:rsid w:val="00022616"/>
    <w:rsid w:val="000B6927"/>
    <w:rsid w:val="000D23A9"/>
    <w:rsid w:val="0013056F"/>
    <w:rsid w:val="00134DDF"/>
    <w:rsid w:val="001376E9"/>
    <w:rsid w:val="00166627"/>
    <w:rsid w:val="00172A27"/>
    <w:rsid w:val="001A71D6"/>
    <w:rsid w:val="001B4B82"/>
    <w:rsid w:val="001D0D95"/>
    <w:rsid w:val="0020496E"/>
    <w:rsid w:val="00220EB9"/>
    <w:rsid w:val="002422CC"/>
    <w:rsid w:val="00270192"/>
    <w:rsid w:val="0029399C"/>
    <w:rsid w:val="002B78CC"/>
    <w:rsid w:val="00356D4C"/>
    <w:rsid w:val="003B6FB5"/>
    <w:rsid w:val="003B79A8"/>
    <w:rsid w:val="003D2B5C"/>
    <w:rsid w:val="00402D02"/>
    <w:rsid w:val="00405815"/>
    <w:rsid w:val="0049263E"/>
    <w:rsid w:val="004A7678"/>
    <w:rsid w:val="00536133"/>
    <w:rsid w:val="0058342F"/>
    <w:rsid w:val="005A2824"/>
    <w:rsid w:val="00640D27"/>
    <w:rsid w:val="006D4861"/>
    <w:rsid w:val="006E06BF"/>
    <w:rsid w:val="0071119C"/>
    <w:rsid w:val="008014D7"/>
    <w:rsid w:val="0082681A"/>
    <w:rsid w:val="00852911"/>
    <w:rsid w:val="00856AB7"/>
    <w:rsid w:val="00860777"/>
    <w:rsid w:val="0088207A"/>
    <w:rsid w:val="00884605"/>
    <w:rsid w:val="0089016E"/>
    <w:rsid w:val="00892DB9"/>
    <w:rsid w:val="008E7553"/>
    <w:rsid w:val="00964807"/>
    <w:rsid w:val="009761F4"/>
    <w:rsid w:val="009810AD"/>
    <w:rsid w:val="00A75E96"/>
    <w:rsid w:val="00AD2127"/>
    <w:rsid w:val="00B3788F"/>
    <w:rsid w:val="00B54815"/>
    <w:rsid w:val="00D63CBA"/>
    <w:rsid w:val="00D77166"/>
    <w:rsid w:val="00DA3766"/>
    <w:rsid w:val="00E93169"/>
    <w:rsid w:val="00EB3FC3"/>
    <w:rsid w:val="00EC376C"/>
    <w:rsid w:val="00F67A31"/>
    <w:rsid w:val="00FC6FC0"/>
    <w:rsid w:val="011D5612"/>
    <w:rsid w:val="02432575"/>
    <w:rsid w:val="02550FB1"/>
    <w:rsid w:val="02FF5FD0"/>
    <w:rsid w:val="032946C0"/>
    <w:rsid w:val="03673303"/>
    <w:rsid w:val="03D75FE4"/>
    <w:rsid w:val="05067B4B"/>
    <w:rsid w:val="05C91F03"/>
    <w:rsid w:val="05F86521"/>
    <w:rsid w:val="06874226"/>
    <w:rsid w:val="06BD1758"/>
    <w:rsid w:val="06BE37F3"/>
    <w:rsid w:val="07584F72"/>
    <w:rsid w:val="07FB58B2"/>
    <w:rsid w:val="083C32F3"/>
    <w:rsid w:val="09313637"/>
    <w:rsid w:val="0A6C7813"/>
    <w:rsid w:val="0AAC34DA"/>
    <w:rsid w:val="0AE44D52"/>
    <w:rsid w:val="0B6B18E9"/>
    <w:rsid w:val="0C9379B5"/>
    <w:rsid w:val="0CE86BF5"/>
    <w:rsid w:val="0D090A82"/>
    <w:rsid w:val="0D9D5121"/>
    <w:rsid w:val="0DE26B6F"/>
    <w:rsid w:val="0E0E6E19"/>
    <w:rsid w:val="0E5D63A4"/>
    <w:rsid w:val="0EB51E7F"/>
    <w:rsid w:val="0F58616B"/>
    <w:rsid w:val="10D25226"/>
    <w:rsid w:val="10DF74D1"/>
    <w:rsid w:val="112F1897"/>
    <w:rsid w:val="11D43D38"/>
    <w:rsid w:val="125608A9"/>
    <w:rsid w:val="129D1B4A"/>
    <w:rsid w:val="12C71151"/>
    <w:rsid w:val="1317267D"/>
    <w:rsid w:val="138D096A"/>
    <w:rsid w:val="141C1379"/>
    <w:rsid w:val="14DF4919"/>
    <w:rsid w:val="14F77FF9"/>
    <w:rsid w:val="159D6E76"/>
    <w:rsid w:val="166E486E"/>
    <w:rsid w:val="16B460CE"/>
    <w:rsid w:val="16C901A8"/>
    <w:rsid w:val="17C6141A"/>
    <w:rsid w:val="17E453D9"/>
    <w:rsid w:val="182037EF"/>
    <w:rsid w:val="185B3369"/>
    <w:rsid w:val="18726F74"/>
    <w:rsid w:val="19636346"/>
    <w:rsid w:val="1A2E114F"/>
    <w:rsid w:val="1A2E7235"/>
    <w:rsid w:val="1AA83524"/>
    <w:rsid w:val="1B124EAE"/>
    <w:rsid w:val="1B1C4485"/>
    <w:rsid w:val="1B4F106E"/>
    <w:rsid w:val="1B5C21AB"/>
    <w:rsid w:val="1B987B7C"/>
    <w:rsid w:val="1C7F3F8F"/>
    <w:rsid w:val="1DB333C4"/>
    <w:rsid w:val="1DE770A1"/>
    <w:rsid w:val="1E962FA7"/>
    <w:rsid w:val="1EB454D8"/>
    <w:rsid w:val="1ED70039"/>
    <w:rsid w:val="1F5370B0"/>
    <w:rsid w:val="205E422E"/>
    <w:rsid w:val="20F161BD"/>
    <w:rsid w:val="20F7046A"/>
    <w:rsid w:val="21E45400"/>
    <w:rsid w:val="21ED55B0"/>
    <w:rsid w:val="221807AC"/>
    <w:rsid w:val="223758DD"/>
    <w:rsid w:val="22AA1722"/>
    <w:rsid w:val="230D4014"/>
    <w:rsid w:val="23400ED4"/>
    <w:rsid w:val="23985350"/>
    <w:rsid w:val="23B12EFB"/>
    <w:rsid w:val="24851CB5"/>
    <w:rsid w:val="25BF32E7"/>
    <w:rsid w:val="264668EF"/>
    <w:rsid w:val="266D133B"/>
    <w:rsid w:val="26DD42DF"/>
    <w:rsid w:val="27832354"/>
    <w:rsid w:val="28AC0D41"/>
    <w:rsid w:val="296075A8"/>
    <w:rsid w:val="29F915EE"/>
    <w:rsid w:val="2A4C0657"/>
    <w:rsid w:val="2A7E4349"/>
    <w:rsid w:val="2AE9663E"/>
    <w:rsid w:val="2B715B4A"/>
    <w:rsid w:val="2BC81945"/>
    <w:rsid w:val="2BDE0587"/>
    <w:rsid w:val="2D1813D0"/>
    <w:rsid w:val="2DEE0378"/>
    <w:rsid w:val="2E7227C4"/>
    <w:rsid w:val="2E912B15"/>
    <w:rsid w:val="2F536C17"/>
    <w:rsid w:val="2F615360"/>
    <w:rsid w:val="305873DB"/>
    <w:rsid w:val="30784A2A"/>
    <w:rsid w:val="3212786B"/>
    <w:rsid w:val="32417E4C"/>
    <w:rsid w:val="32DB2701"/>
    <w:rsid w:val="32EB4BFD"/>
    <w:rsid w:val="330B6E4F"/>
    <w:rsid w:val="349F59AA"/>
    <w:rsid w:val="34D32B80"/>
    <w:rsid w:val="355B02A9"/>
    <w:rsid w:val="36177E32"/>
    <w:rsid w:val="36361F27"/>
    <w:rsid w:val="37023B97"/>
    <w:rsid w:val="37A254C1"/>
    <w:rsid w:val="38C32EC5"/>
    <w:rsid w:val="394529F3"/>
    <w:rsid w:val="3A635874"/>
    <w:rsid w:val="3BC07682"/>
    <w:rsid w:val="3C0F2267"/>
    <w:rsid w:val="3C264105"/>
    <w:rsid w:val="3CD132DF"/>
    <w:rsid w:val="3D475A6A"/>
    <w:rsid w:val="3DE121CD"/>
    <w:rsid w:val="3DE405AD"/>
    <w:rsid w:val="3E282C8F"/>
    <w:rsid w:val="3E436B96"/>
    <w:rsid w:val="3EC77630"/>
    <w:rsid w:val="3F3155E4"/>
    <w:rsid w:val="3FD810A9"/>
    <w:rsid w:val="3FE41E05"/>
    <w:rsid w:val="40B04468"/>
    <w:rsid w:val="40BB679F"/>
    <w:rsid w:val="40FF29C5"/>
    <w:rsid w:val="411019C7"/>
    <w:rsid w:val="41EE42EC"/>
    <w:rsid w:val="42BA76B4"/>
    <w:rsid w:val="430D227A"/>
    <w:rsid w:val="43D64618"/>
    <w:rsid w:val="43F438AE"/>
    <w:rsid w:val="44C609FB"/>
    <w:rsid w:val="450A4E3E"/>
    <w:rsid w:val="4576738D"/>
    <w:rsid w:val="45965E0A"/>
    <w:rsid w:val="45CD6B50"/>
    <w:rsid w:val="4686553F"/>
    <w:rsid w:val="46B47044"/>
    <w:rsid w:val="471072A1"/>
    <w:rsid w:val="478E3289"/>
    <w:rsid w:val="48104766"/>
    <w:rsid w:val="48830DE9"/>
    <w:rsid w:val="489E4931"/>
    <w:rsid w:val="49330A32"/>
    <w:rsid w:val="49EE0878"/>
    <w:rsid w:val="49F85038"/>
    <w:rsid w:val="4A625CF1"/>
    <w:rsid w:val="4AF45931"/>
    <w:rsid w:val="4B0A1FB0"/>
    <w:rsid w:val="4B547D73"/>
    <w:rsid w:val="4C282162"/>
    <w:rsid w:val="4C5E0BA0"/>
    <w:rsid w:val="4D246A52"/>
    <w:rsid w:val="4D5578DA"/>
    <w:rsid w:val="4D8A618F"/>
    <w:rsid w:val="4DB30887"/>
    <w:rsid w:val="4E7F7E27"/>
    <w:rsid w:val="4FB95BA7"/>
    <w:rsid w:val="4FC86953"/>
    <w:rsid w:val="500D49C8"/>
    <w:rsid w:val="50720583"/>
    <w:rsid w:val="521168D9"/>
    <w:rsid w:val="530C4814"/>
    <w:rsid w:val="5336714C"/>
    <w:rsid w:val="539302E3"/>
    <w:rsid w:val="541849BF"/>
    <w:rsid w:val="542C570B"/>
    <w:rsid w:val="5452447D"/>
    <w:rsid w:val="566D73F2"/>
    <w:rsid w:val="568D0E9B"/>
    <w:rsid w:val="56962C96"/>
    <w:rsid w:val="56C461C3"/>
    <w:rsid w:val="58517838"/>
    <w:rsid w:val="58752C12"/>
    <w:rsid w:val="58850626"/>
    <w:rsid w:val="589D6FAC"/>
    <w:rsid w:val="5A873EDB"/>
    <w:rsid w:val="5AA24335"/>
    <w:rsid w:val="5AD37D14"/>
    <w:rsid w:val="5AF2412A"/>
    <w:rsid w:val="5B4951AA"/>
    <w:rsid w:val="5B6748C4"/>
    <w:rsid w:val="5CD05BF2"/>
    <w:rsid w:val="5D2277B7"/>
    <w:rsid w:val="5E0D225E"/>
    <w:rsid w:val="5E5A5DFB"/>
    <w:rsid w:val="5F2C29DF"/>
    <w:rsid w:val="5F74097A"/>
    <w:rsid w:val="61250E9A"/>
    <w:rsid w:val="615E67B5"/>
    <w:rsid w:val="61816E2A"/>
    <w:rsid w:val="62687E84"/>
    <w:rsid w:val="62A3337C"/>
    <w:rsid w:val="62A72349"/>
    <w:rsid w:val="63E353F0"/>
    <w:rsid w:val="642B57E7"/>
    <w:rsid w:val="64AD0BC9"/>
    <w:rsid w:val="64B2741F"/>
    <w:rsid w:val="64F214DB"/>
    <w:rsid w:val="6595175B"/>
    <w:rsid w:val="66862BAF"/>
    <w:rsid w:val="681055DC"/>
    <w:rsid w:val="689C0889"/>
    <w:rsid w:val="68EF3F1B"/>
    <w:rsid w:val="691A210F"/>
    <w:rsid w:val="696C74D9"/>
    <w:rsid w:val="69883DAF"/>
    <w:rsid w:val="6A2357D6"/>
    <w:rsid w:val="6B86017B"/>
    <w:rsid w:val="6C4611DD"/>
    <w:rsid w:val="6D0A078A"/>
    <w:rsid w:val="6D795A0C"/>
    <w:rsid w:val="6D7C04F8"/>
    <w:rsid w:val="6D986846"/>
    <w:rsid w:val="6E160358"/>
    <w:rsid w:val="6E784743"/>
    <w:rsid w:val="6F375CB2"/>
    <w:rsid w:val="6FF002F6"/>
    <w:rsid w:val="6FF43B2E"/>
    <w:rsid w:val="7217335A"/>
    <w:rsid w:val="72AE70BD"/>
    <w:rsid w:val="72B918A3"/>
    <w:rsid w:val="73BE4D03"/>
    <w:rsid w:val="74203AB2"/>
    <w:rsid w:val="7425641E"/>
    <w:rsid w:val="74E2484D"/>
    <w:rsid w:val="752B3F36"/>
    <w:rsid w:val="75B75143"/>
    <w:rsid w:val="764712FA"/>
    <w:rsid w:val="796638B3"/>
    <w:rsid w:val="79EE6447"/>
    <w:rsid w:val="7B48037E"/>
    <w:rsid w:val="7B7033AC"/>
    <w:rsid w:val="7C132949"/>
    <w:rsid w:val="7E310554"/>
    <w:rsid w:val="7F3D4E8E"/>
    <w:rsid w:val="7F8E4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1"/>
    <w:pPr>
      <w:spacing w:before="85"/>
      <w:ind w:left="993"/>
      <w:outlineLvl w:val="1"/>
    </w:pPr>
    <w:rPr>
      <w:rFonts w:ascii="宋体" w:hAnsi="宋体" w:eastAsia="宋体" w:cs="宋体"/>
      <w:sz w:val="28"/>
      <w:szCs w:val="28"/>
      <w:lang w:val="zh-CN" w:bidi="zh-CN"/>
    </w:rPr>
  </w:style>
  <w:style w:type="paragraph" w:styleId="4">
    <w:name w:val="heading 3"/>
    <w:basedOn w:val="1"/>
    <w:next w:val="1"/>
    <w:link w:val="23"/>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unhideWhenUsed/>
    <w:qFormat/>
    <w:uiPriority w:val="99"/>
    <w:pPr>
      <w:jc w:val="left"/>
    </w:pPr>
  </w:style>
  <w:style w:type="paragraph" w:styleId="6">
    <w:name w:val="Body Text"/>
    <w:basedOn w:val="1"/>
    <w:qFormat/>
    <w:uiPriority w:val="1"/>
    <w:rPr>
      <w:rFonts w:ascii="宋体" w:hAnsi="宋体" w:eastAsia="宋体" w:cs="宋体"/>
      <w:szCs w:val="21"/>
      <w:lang w:val="zh-CN" w:bidi="zh-CN"/>
    </w:rPr>
  </w:style>
  <w:style w:type="paragraph" w:styleId="7">
    <w:name w:val="Body Text Indent"/>
    <w:basedOn w:val="1"/>
    <w:unhideWhenUsed/>
    <w:qFormat/>
    <w:uiPriority w:val="99"/>
    <w:pPr>
      <w:spacing w:after="120"/>
      <w:ind w:left="420" w:leftChars="200"/>
    </w:pPr>
  </w:style>
  <w:style w:type="paragraph" w:styleId="8">
    <w:name w:val="Date"/>
    <w:basedOn w:val="1"/>
    <w:next w:val="1"/>
    <w:link w:val="39"/>
    <w:semiHidden/>
    <w:unhideWhenUsed/>
    <w:qFormat/>
    <w:uiPriority w:val="99"/>
    <w:pPr>
      <w:ind w:left="100" w:leftChars="2500"/>
    </w:pPr>
  </w:style>
  <w:style w:type="paragraph" w:styleId="9">
    <w:name w:val="Balloon Text"/>
    <w:basedOn w:val="1"/>
    <w:link w:val="28"/>
    <w:semiHidden/>
    <w:unhideWhenUsed/>
    <w:qFormat/>
    <w:uiPriority w:val="99"/>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13">
    <w:name w:val="Title"/>
    <w:basedOn w:val="1"/>
    <w:next w:val="1"/>
    <w:link w:val="31"/>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4">
    <w:name w:val="annotation subject"/>
    <w:basedOn w:val="5"/>
    <w:next w:val="5"/>
    <w:link w:val="27"/>
    <w:unhideWhenUsed/>
    <w:qFormat/>
    <w:uiPriority w:val="99"/>
    <w:rPr>
      <w:b/>
      <w:bCs/>
    </w:rPr>
  </w:style>
  <w:style w:type="paragraph" w:styleId="15">
    <w:name w:val="Body Text First Indent 2"/>
    <w:basedOn w:val="7"/>
    <w:unhideWhenUsed/>
    <w:qFormat/>
    <w:uiPriority w:val="99"/>
    <w:pPr>
      <w:ind w:firstLine="420" w:firstLineChars="200"/>
    </w:p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Strong"/>
    <w:basedOn w:val="18"/>
    <w:qFormat/>
    <w:uiPriority w:val="22"/>
    <w:rPr>
      <w:b/>
      <w:bCs/>
    </w:rPr>
  </w:style>
  <w:style w:type="character" w:styleId="20">
    <w:name w:val="Hyperlink"/>
    <w:basedOn w:val="18"/>
    <w:semiHidden/>
    <w:unhideWhenUsed/>
    <w:qFormat/>
    <w:uiPriority w:val="99"/>
    <w:rPr>
      <w:color w:val="0000FF"/>
      <w:u w:val="single"/>
    </w:rPr>
  </w:style>
  <w:style w:type="character" w:styleId="21">
    <w:name w:val="annotation reference"/>
    <w:basedOn w:val="18"/>
    <w:unhideWhenUsed/>
    <w:qFormat/>
    <w:uiPriority w:val="0"/>
    <w:rPr>
      <w:sz w:val="21"/>
      <w:szCs w:val="21"/>
    </w:rPr>
  </w:style>
  <w:style w:type="character" w:customStyle="1" w:styleId="22">
    <w:name w:val="标题 1 Char"/>
    <w:basedOn w:val="18"/>
    <w:link w:val="2"/>
    <w:qFormat/>
    <w:uiPriority w:val="9"/>
    <w:rPr>
      <w:b/>
      <w:bCs/>
      <w:kern w:val="44"/>
      <w:sz w:val="44"/>
      <w:szCs w:val="44"/>
    </w:rPr>
  </w:style>
  <w:style w:type="character" w:customStyle="1" w:styleId="23">
    <w:name w:val="标题 3 Char"/>
    <w:basedOn w:val="18"/>
    <w:link w:val="4"/>
    <w:qFormat/>
    <w:uiPriority w:val="0"/>
    <w:rPr>
      <w:rFonts w:ascii="Times New Roman" w:hAnsi="Times New Roman" w:eastAsia="宋体" w:cs="Times New Roman"/>
      <w:sz w:val="24"/>
      <w:szCs w:val="20"/>
    </w:rPr>
  </w:style>
  <w:style w:type="character" w:customStyle="1" w:styleId="24">
    <w:name w:val="页眉 Char"/>
    <w:basedOn w:val="18"/>
    <w:link w:val="11"/>
    <w:qFormat/>
    <w:uiPriority w:val="99"/>
    <w:rPr>
      <w:sz w:val="18"/>
      <w:szCs w:val="18"/>
    </w:rPr>
  </w:style>
  <w:style w:type="character" w:customStyle="1" w:styleId="25">
    <w:name w:val="页脚 Char"/>
    <w:basedOn w:val="18"/>
    <w:link w:val="10"/>
    <w:qFormat/>
    <w:uiPriority w:val="99"/>
    <w:rPr>
      <w:sz w:val="18"/>
      <w:szCs w:val="18"/>
    </w:rPr>
  </w:style>
  <w:style w:type="character" w:customStyle="1" w:styleId="26">
    <w:name w:val="批注文字 Char"/>
    <w:basedOn w:val="18"/>
    <w:link w:val="5"/>
    <w:qFormat/>
    <w:uiPriority w:val="99"/>
  </w:style>
  <w:style w:type="character" w:customStyle="1" w:styleId="27">
    <w:name w:val="批注主题 Char"/>
    <w:basedOn w:val="26"/>
    <w:link w:val="14"/>
    <w:semiHidden/>
    <w:qFormat/>
    <w:uiPriority w:val="99"/>
    <w:rPr>
      <w:b/>
      <w:bCs/>
    </w:rPr>
  </w:style>
  <w:style w:type="character" w:customStyle="1" w:styleId="28">
    <w:name w:val="批注框文本 Char"/>
    <w:basedOn w:val="18"/>
    <w:link w:val="9"/>
    <w:semiHidden/>
    <w:qFormat/>
    <w:uiPriority w:val="99"/>
    <w:rPr>
      <w:sz w:val="18"/>
      <w:szCs w:val="18"/>
    </w:rPr>
  </w:style>
  <w:style w:type="paragraph" w:customStyle="1" w:styleId="29">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30">
    <w:name w:val="apple-converted-space"/>
    <w:basedOn w:val="18"/>
    <w:qFormat/>
    <w:uiPriority w:val="0"/>
  </w:style>
  <w:style w:type="character" w:customStyle="1" w:styleId="31">
    <w:name w:val="标题 Char"/>
    <w:basedOn w:val="18"/>
    <w:link w:val="13"/>
    <w:qFormat/>
    <w:uiPriority w:val="0"/>
    <w:rPr>
      <w:rFonts w:ascii="Cambria" w:hAnsi="Cambria" w:eastAsia="宋体" w:cs="Times New Roman"/>
      <w:b/>
      <w:bCs/>
      <w:sz w:val="44"/>
      <w:szCs w:val="32"/>
    </w:rPr>
  </w:style>
  <w:style w:type="paragraph" w:customStyle="1" w:styleId="32">
    <w:name w:val="Table Paragraph"/>
    <w:basedOn w:val="1"/>
    <w:qFormat/>
    <w:uiPriority w:val="1"/>
    <w:rPr>
      <w:rFonts w:ascii="宋体" w:hAnsi="宋体" w:eastAsia="宋体" w:cs="宋体"/>
      <w:lang w:val="zh-CN" w:bidi="zh-CN"/>
    </w:rPr>
  </w:style>
  <w:style w:type="paragraph" w:styleId="33">
    <w:name w:val="List Paragraph"/>
    <w:basedOn w:val="1"/>
    <w:qFormat/>
    <w:uiPriority w:val="1"/>
    <w:pPr>
      <w:spacing w:before="131"/>
      <w:ind w:left="1834" w:hanging="213"/>
    </w:pPr>
    <w:rPr>
      <w:rFonts w:ascii="宋体" w:hAnsi="宋体" w:eastAsia="宋体" w:cs="宋体"/>
      <w:lang w:val="zh-CN" w:bidi="zh-CN"/>
    </w:rPr>
  </w:style>
  <w:style w:type="paragraph" w:customStyle="1" w:styleId="34">
    <w:name w:val="a"/>
    <w:basedOn w:val="1"/>
    <w:qFormat/>
    <w:uiPriority w:val="0"/>
    <w:pPr>
      <w:widowControl/>
      <w:ind w:firstLine="200"/>
    </w:pPr>
    <w:rPr>
      <w:rFonts w:ascii="Times New Roman" w:hAnsi="Times New Roman"/>
      <w:kern w:val="0"/>
      <w:sz w:val="28"/>
      <w:szCs w:val="28"/>
    </w:rPr>
  </w:style>
  <w:style w:type="paragraph" w:customStyle="1" w:styleId="35">
    <w:name w:val="列出段落2"/>
    <w:basedOn w:val="1"/>
    <w:qFormat/>
    <w:uiPriority w:val="0"/>
    <w:pPr>
      <w:ind w:firstLine="420" w:firstLineChars="200"/>
    </w:pPr>
    <w:rPr>
      <w:rFonts w:cs="宋体"/>
      <w:szCs w:val="21"/>
    </w:rPr>
  </w:style>
  <w:style w:type="character" w:customStyle="1" w:styleId="36">
    <w:name w:val="font21"/>
    <w:qFormat/>
    <w:uiPriority w:val="0"/>
    <w:rPr>
      <w:rFonts w:hint="eastAsia" w:ascii="宋体" w:hAnsi="宋体" w:eastAsia="宋体"/>
      <w:color w:val="000000"/>
      <w:sz w:val="18"/>
      <w:szCs w:val="18"/>
      <w:u w:val="none"/>
    </w:rPr>
  </w:style>
  <w:style w:type="paragraph" w:customStyle="1" w:styleId="37">
    <w:name w:val="Normal New New New New New"/>
    <w:qFormat/>
    <w:uiPriority w:val="0"/>
    <w:pPr>
      <w:jc w:val="both"/>
    </w:pPr>
    <w:rPr>
      <w:rFonts w:ascii="Times New Roman" w:hAnsi="Times New Roman" w:eastAsia="宋体" w:cs="Times New Roman"/>
      <w:kern w:val="2"/>
      <w:sz w:val="21"/>
      <w:lang w:val="en-US" w:eastAsia="zh-CN" w:bidi="ar-SA"/>
    </w:rPr>
  </w:style>
  <w:style w:type="character" w:customStyle="1" w:styleId="38">
    <w:name w:val="font01"/>
    <w:qFormat/>
    <w:uiPriority w:val="0"/>
    <w:rPr>
      <w:rFonts w:hint="default" w:ascii="Times New Roman" w:hAnsi="Times New Roman" w:cs="Times New Roman"/>
      <w:color w:val="000000"/>
      <w:sz w:val="18"/>
      <w:szCs w:val="18"/>
      <w:u w:val="none"/>
    </w:rPr>
  </w:style>
  <w:style w:type="character" w:customStyle="1" w:styleId="39">
    <w:name w:val="日期 Char"/>
    <w:basedOn w:val="18"/>
    <w:link w:val="8"/>
    <w:semiHidden/>
    <w:qFormat/>
    <w:uiPriority w:val="99"/>
    <w:rPr>
      <w:rFonts w:asciiTheme="minorHAnsi" w:hAnsiTheme="minorHAnsi" w:eastAsiaTheme="minorEastAsia" w:cstheme="minorBidi"/>
      <w:kern w:val="2"/>
      <w:sz w:val="21"/>
      <w:szCs w:val="22"/>
    </w:rPr>
  </w:style>
  <w:style w:type="paragraph" w:customStyle="1" w:styleId="40">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2592</Words>
  <Characters>14776</Characters>
  <Lines>123</Lines>
  <Paragraphs>34</Paragraphs>
  <TotalTime>15</TotalTime>
  <ScaleCrop>false</ScaleCrop>
  <LinksUpToDate>false</LinksUpToDate>
  <CharactersWithSpaces>17334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2021-07-30T02:24:00Z</dcterms:created>
  <dc:creator>hwl</dc:creator>
  <cp:lastModifiedBy>缘玲</cp:lastModifiedBy>
  <cp:lastPrinted>2020-06-15T12:39:00Z</cp:lastPrinted>
  <dcterms:modified xsi:type="dcterms:W3CDTF">2021-10-21T09:13:06Z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2752D72167324BC3B9839E7C99CC848A</vt:lpwstr>
  </property>
</Properties>
</file>